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083146">
      <w:pPr>
        <w:pStyle w:val="15"/>
        <w:widowControl/>
      </w:pPr>
      <mc:AlternateContent>
        <mc:Choice Requires="wpsCustomData">
          <wpsCustomData:docfieldStart id="0" docfieldname="标题_1" hidden="0" print="1" readonly="0" index="18"/>
        </mc:Choice>
      </mc:AlternateContent>
      <w:r>
        <w:t>巴彦淖尔市公安局人民警察实训基地</w:t>
      </w:r>
      <w:r>
        <w:br w:type="textWrapping"/>
      </w:r>
      <w:r>
        <w:t>物业管理服务考核细则</w:t>
      </w:r>
      <mc:AlternateContent>
        <mc:Choice Requires="wpsCustomData">
          <wpsCustomData:docfieldEnd id="0"/>
        </mc:Choice>
      </mc:AlternateContent>
    </w:p>
    <w:p w14:paraId="2AED6C88">
      <w:pPr>
        <w:pStyle w:val="11"/>
        <w:bidi w:val="0"/>
        <w:spacing w:beforeAutospacing="0" w:afterAutospacing="0" w:line="300" w:lineRule="exact"/>
      </w:pPr>
    </w:p>
    <w:p w14:paraId="04EDAED5">
      <w:pPr>
        <w:pStyle w:val="2"/>
        <w:widowControl/>
        <w:numPr>
          <w:ilvl w:val="0"/>
          <w:numId w:val="1"/>
        </w:numPr>
        <w:topLinePunct w:val="0"/>
        <w:ind w:left="0" w:leftChars="0" w:firstLine="640" w:firstLineChars="0"/>
        <w:rPr>
          <w:b w:val="0"/>
          <w:bdr w:val="none" w:sz="0" w:space="0"/>
        </w:rPr>
      </w:pPr>
      <w:r>
        <w:t>考核总则</w:t>
      </w:r>
    </w:p>
    <w:p w14:paraId="20543159">
      <w:pPr>
        <w:pStyle w:val="3"/>
        <w:widowControl/>
        <w:numPr>
          <w:ilvl w:val="0"/>
          <w:numId w:val="2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bdr w:val="none" w:sz="0" w:space="0"/>
        </w:rPr>
      </w:pPr>
      <w:r>
        <w:t>考核目的</w:t>
      </w:r>
    </w:p>
    <w:p w14:paraId="7B080F0B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color w:val="1F2329"/>
        </w:rPr>
      </w:pPr>
      <w:r>
        <w:rPr>
          <w:color w:val="1F2329"/>
        </w:rPr>
        <w:t>为规范物业服务公司（以下简称 “乙方”）在巴彦淖尔市公安局人民警察实训基地（以下简称 “甲方”）的物业管理服务行为，强化甲方对乙方服务的全过程监管，确保乙方严格按照《物业管理服务合同》约定提供优质、高效、规范的服务，保障基地正常运转，提升服务质量，特制定本绩效考核细则。</w:t>
      </w:r>
    </w:p>
    <w:p w14:paraId="07CB9AF3">
      <w:pPr>
        <w:pStyle w:val="3"/>
        <w:widowControl/>
        <w:numPr>
          <w:ilvl w:val="0"/>
          <w:numId w:val="2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bdr w:val="none" w:sz="0" w:space="0"/>
        </w:rPr>
      </w:pPr>
      <w:r>
        <w:t>考核依据</w:t>
      </w:r>
    </w:p>
    <w:p w14:paraId="7BF802A5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color w:val="1F2329"/>
        </w:rPr>
      </w:pPr>
      <w:r>
        <w:rPr>
          <w:color w:val="1F2329"/>
        </w:rPr>
        <w:t>本细则依据《中华人民共和国政府采购法》《中华人民共和国民法典》等相关法律法规、《物业管理服务合同》及附件、招标文件、乙方投标文件及服务承诺等内容制定。</w:t>
      </w:r>
    </w:p>
    <w:p w14:paraId="469BD3F0">
      <w:pPr>
        <w:pStyle w:val="3"/>
        <w:widowControl/>
        <w:numPr>
          <w:ilvl w:val="0"/>
          <w:numId w:val="2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bdr w:val="none" w:sz="0" w:space="0"/>
        </w:rPr>
      </w:pPr>
      <w:r>
        <w:t>考核对象</w:t>
      </w:r>
    </w:p>
    <w:p w14:paraId="55AF6637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color w:val="1F2329"/>
        </w:rPr>
      </w:pPr>
      <w:r>
        <w:rPr>
          <w:color w:val="1F2329"/>
        </w:rPr>
        <w:t>物业服务公司全体服务人员、项目经理及相关管理团队。</w:t>
      </w:r>
    </w:p>
    <w:p w14:paraId="6AE6D5F6">
      <w:pPr>
        <w:pStyle w:val="3"/>
        <w:widowControl/>
        <w:numPr>
          <w:ilvl w:val="0"/>
          <w:numId w:val="2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bdr w:val="none" w:sz="0" w:space="0"/>
        </w:rPr>
      </w:pPr>
      <w:r>
        <w:t>考核周期</w:t>
      </w:r>
    </w:p>
    <w:p w14:paraId="3BF34A64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color w:val="1F2329"/>
        </w:rPr>
      </w:pPr>
      <w:r>
        <w:rPr>
          <w:color w:val="1F2329"/>
        </w:rPr>
        <w:t>考核分为月度考核、季度考核和年度考核。月度考核每月末开展，季度考核每满 3 个月结合月度考核结果综合评定（与合同约定付款考核周期一致），年度考核在服务期满 12 个月后进行。</w:t>
      </w:r>
    </w:p>
    <w:p w14:paraId="298E54EE">
      <w:pPr>
        <w:pStyle w:val="3"/>
        <w:widowControl/>
        <w:numPr>
          <w:ilvl w:val="0"/>
          <w:numId w:val="2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bdr w:val="none" w:sz="0" w:space="0"/>
        </w:rPr>
      </w:pPr>
      <w:r>
        <w:t>考核主体</w:t>
      </w:r>
    </w:p>
    <w:p w14:paraId="122C07E4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color w:val="0000FF"/>
        </w:rPr>
      </w:pPr>
      <w:r>
        <w:rPr>
          <w:color w:val="0000FF"/>
        </w:rPr>
        <w:t>考核工作由甲方成立考核小组负责，成员由甲方自己确定。</w:t>
      </w:r>
    </w:p>
    <w:p w14:paraId="15940A60">
      <w:pPr>
        <w:pStyle w:val="3"/>
        <w:widowControl/>
        <w:numPr>
          <w:ilvl w:val="0"/>
          <w:numId w:val="2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bdr w:val="none" w:sz="0" w:space="0"/>
        </w:rPr>
      </w:pPr>
      <w:r>
        <w:t>考核原则</w:t>
      </w:r>
    </w:p>
    <w:p w14:paraId="6B1D3C65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color w:val="1F2329"/>
        </w:rPr>
      </w:pPr>
      <w:r>
        <w:rPr>
          <w:rStyle w:val="21"/>
        </w:rPr>
        <w:t>公平公正原则</w:t>
      </w:r>
      <w:r>
        <w:rPr>
          <w:color w:val="1F2329"/>
        </w:rPr>
        <w:t>：考核标准统一、考核流程公开，确保考核结果客观公正。</w:t>
      </w:r>
    </w:p>
    <w:p w14:paraId="3B47D239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color w:val="1F2329"/>
        </w:rPr>
      </w:pPr>
      <w:r>
        <w:rPr>
          <w:rStyle w:val="21"/>
        </w:rPr>
        <w:t>可操作性原则</w:t>
      </w:r>
      <w:r>
        <w:rPr>
          <w:color w:val="1F2329"/>
        </w:rPr>
        <w:t>：考核指标明确、量化清晰，考核方式简便易行，便于实际执行。</w:t>
      </w:r>
    </w:p>
    <w:p w14:paraId="24364855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color w:val="1F2329"/>
        </w:rPr>
      </w:pPr>
      <w:r>
        <w:rPr>
          <w:rStyle w:val="21"/>
        </w:rPr>
        <w:t>权责对等原则</w:t>
      </w:r>
      <w:r>
        <w:rPr>
          <w:color w:val="1F2329"/>
        </w:rPr>
        <w:t>：考核结果与服务费用支付、合同履行挂钩，强化乙方责任意识。</w:t>
      </w:r>
    </w:p>
    <w:p w14:paraId="4FBCAC84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color w:val="1F2329"/>
        </w:rPr>
      </w:pPr>
      <w:r>
        <w:rPr>
          <w:rStyle w:val="21"/>
        </w:rPr>
        <w:t>激励改进原则</w:t>
      </w:r>
      <w:r>
        <w:rPr>
          <w:color w:val="1F2329"/>
        </w:rPr>
        <w:t>：既对乙方服务不足进行约束问责，也对优质服务给予肯定，促进乙方持续提升服务质量。</w:t>
      </w:r>
    </w:p>
    <w:p w14:paraId="4AE26EE2">
      <w:pPr>
        <w:pStyle w:val="2"/>
        <w:widowControl/>
        <w:numPr>
          <w:ilvl w:val="0"/>
          <w:numId w:val="1"/>
        </w:numPr>
        <w:topLinePunct w:val="0"/>
        <w:ind w:left="0" w:leftChars="0" w:firstLine="640" w:firstLineChars="0"/>
        <w:rPr>
          <w:b w:val="0"/>
          <w:bdr w:val="none" w:sz="0" w:space="0"/>
        </w:rPr>
      </w:pPr>
      <w:r>
        <w:t>考核指标及评分标准（总分 100 分）</w:t>
      </w:r>
    </w:p>
    <w:p w14:paraId="50BC3181">
      <w:pPr>
        <w:pStyle w:val="3"/>
        <w:widowControl/>
        <w:numPr>
          <w:ilvl w:val="0"/>
          <w:numId w:val="3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bdr w:val="none" w:sz="0" w:space="0"/>
        </w:rPr>
      </w:pPr>
      <w:r>
        <w:t>基础管理（15 分）</w:t>
      </w:r>
    </w:p>
    <w:p w14:paraId="0D045894">
      <w:pPr>
        <w:pStyle w:val="11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制度建设与执行（4分）</w:t>
      </w:r>
      <w:r>
        <w:rPr>
          <w:color w:val="1F2329"/>
        </w:rPr>
        <w:t>：乙方须建立健全物业服务管理制度、各岗位操作规程、应急预案等，并严格执行。未建立完整制度扣 2分；制度未有效执行，每次扣 0.5 分，扣完为止。</w:t>
      </w:r>
    </w:p>
    <w:p w14:paraId="7A973681">
      <w:pPr>
        <w:pStyle w:val="11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项目经理履职（4分）</w:t>
      </w:r>
      <w:r>
        <w:rPr>
          <w:color w:val="1F2329"/>
        </w:rPr>
        <w:t>：项目经理须具备合同约定的岗位从业资格条件，具备较强组织协调能力，按要求开展日常管理、品质督查工作。不符合条件扣2分；未定期开展管理督查，每次扣 1</w:t>
      </w:r>
      <w:r>
        <w:rPr>
          <w:color w:val="1F2329"/>
          <w:spacing wpsCustomData:val="-6" w:val="1"/>
        </w:rPr>
        <w:t xml:space="preserve"> 分；因项目经理协调不力导致服务纠纷，每次扣 </w:t>
      </w:r>
      <w:r>
        <w:rPr>
          <w:color w:val="1F2329"/>
          <w:spacing wpsCustomData:val="-6" w:val="-6"/>
        </w:rPr>
        <w:t>1</w:t>
      </w:r>
      <w:r>
        <w:rPr>
          <w:color w:val="1F2329"/>
          <w:spacing wpsCustomData:val="-6" w:val="1"/>
        </w:rPr>
        <w:t xml:space="preserve"> 分，扣</w:t>
      </w:r>
      <w:r>
        <w:rPr>
          <w:color w:val="1F2329"/>
          <w:spacing wpsCustomData:val="-6" w:val="-6"/>
        </w:rPr>
        <w:t>完</w:t>
      </w:r>
      <w:r>
        <w:rPr>
          <w:color w:val="1F2329"/>
        </w:rPr>
        <w:t>为止。</w:t>
      </w:r>
    </w:p>
    <w:p w14:paraId="702E3384">
      <w:pPr>
        <w:pStyle w:val="11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人员管理（5分）</w:t>
      </w:r>
      <w:r>
        <w:rPr>
          <w:b w:val="0"/>
          <w:color w:val="1F2329"/>
        </w:rPr>
        <w:t>：乙方须按合同约定数量配备物业工作人员，乙方聘用的物业服务人员，须具备岗位要求的年龄、性别、学历、工作经验及专业技能等用工资格条件，同时应持有对应岗位所需的法定执业资格证书、健康证书等相关资质证书及证明材料，确保符合岗位履职要求。以下为需要执业资格证的工作岗位：</w:t>
      </w:r>
    </w:p>
    <w:tbl>
      <w:tblPr>
        <w:tblStyle w:val="17"/>
        <w:tblW w:w="4855" w:type="pct"/>
        <w:tblInd w:w="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25"/>
        <w:gridCol w:w="5973"/>
      </w:tblGrid>
      <w:tr w14:paraId="77E24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05" w:type="pct"/>
            <w:noWrap w:val="0"/>
            <w:vAlign w:val="center"/>
          </w:tcPr>
          <w:p w14:paraId="059F79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/>
              </w:rPr>
              <w:t>岗位</w:t>
            </w:r>
          </w:p>
        </w:tc>
        <w:tc>
          <w:tcPr>
            <w:tcW w:w="3394" w:type="pct"/>
            <w:noWrap w:val="0"/>
            <w:vAlign w:val="center"/>
          </w:tcPr>
          <w:p w14:paraId="393D3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300" w:lineRule="auto"/>
              <w:ind w:left="0" w:right="0"/>
              <w:jc w:val="center"/>
              <w:rPr>
                <w:rFonts w:hint="default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val="en-US" w:eastAsia="zh-CN"/>
              </w:rPr>
              <w:t>执业资格证名称</w:t>
            </w:r>
          </w:p>
        </w:tc>
      </w:tr>
      <w:tr w14:paraId="69380C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05" w:type="pct"/>
            <w:noWrap w:val="0"/>
            <w:vAlign w:val="center"/>
          </w:tcPr>
          <w:p w14:paraId="13C5312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default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val="en-US" w:eastAsia="zh-CN"/>
              </w:rPr>
              <w:t>物业服务人员</w:t>
            </w:r>
          </w:p>
        </w:tc>
        <w:tc>
          <w:tcPr>
            <w:tcW w:w="3394" w:type="pct"/>
            <w:noWrap w:val="0"/>
            <w:vAlign w:val="center"/>
          </w:tcPr>
          <w:p w14:paraId="2056F4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val="en-US" w:eastAsia="zh-CN"/>
              </w:rPr>
              <w:t>健康证</w:t>
            </w:r>
          </w:p>
        </w:tc>
      </w:tr>
      <w:tr w14:paraId="69342B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05" w:type="pct"/>
            <w:noWrap w:val="0"/>
            <w:vAlign w:val="center"/>
          </w:tcPr>
          <w:p w14:paraId="7E6D9786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00" w:lineRule="auto"/>
              <w:ind w:left="0" w:leftChars="0" w:right="0" w:rightChars="0"/>
              <w:jc w:val="both"/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val="en-US" w:eastAsia="zh-CN"/>
              </w:rPr>
              <w:t>高配工</w:t>
            </w:r>
          </w:p>
        </w:tc>
        <w:tc>
          <w:tcPr>
            <w:tcW w:w="3394" w:type="pct"/>
            <w:noWrap w:val="0"/>
            <w:vAlign w:val="center"/>
          </w:tcPr>
          <w:p w14:paraId="5D5AF5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/>
              </w:rPr>
              <w:t>特种作业操作证（高压电工作业）</w:t>
            </w:r>
          </w:p>
        </w:tc>
      </w:tr>
      <w:tr w14:paraId="28915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05" w:type="pct"/>
            <w:noWrap w:val="0"/>
            <w:vAlign w:val="center"/>
          </w:tcPr>
          <w:p w14:paraId="1FF3BDBE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00" w:lineRule="auto"/>
              <w:ind w:left="0" w:leftChars="0" w:right="0" w:rightChars="0"/>
              <w:jc w:val="both"/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val="en-US" w:eastAsia="zh-CN"/>
              </w:rPr>
              <w:t>水电暖工</w:t>
            </w:r>
          </w:p>
        </w:tc>
        <w:tc>
          <w:tcPr>
            <w:tcW w:w="3394" w:type="pct"/>
            <w:noWrap w:val="0"/>
            <w:vAlign w:val="center"/>
          </w:tcPr>
          <w:p w14:paraId="7030B9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val="en-US" w:eastAsia="zh-CN"/>
              </w:rPr>
              <w:t>特种作业操作证（低</w:t>
            </w: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/>
              </w:rPr>
              <w:t>压电工</w:t>
            </w: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val="en-US" w:eastAsia="zh-CN"/>
              </w:rPr>
              <w:t>作业</w:t>
            </w: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eastAsia="zh-CN"/>
              </w:rPr>
              <w:t>）</w:t>
            </w:r>
          </w:p>
        </w:tc>
      </w:tr>
      <w:tr w14:paraId="603E21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05" w:type="pct"/>
            <w:noWrap w:val="0"/>
            <w:vAlign w:val="center"/>
          </w:tcPr>
          <w:p w14:paraId="7C36BA3A">
            <w:pPr>
              <w:keepNext w:val="0"/>
              <w:keepLines w:val="0"/>
              <w:widowControl/>
              <w:suppressLineNumbers w:val="0"/>
              <w:snapToGrid w:val="0"/>
              <w:spacing w:before="0" w:beforeAutospacing="0" w:after="0" w:afterAutospacing="0" w:line="300" w:lineRule="auto"/>
              <w:ind w:left="0" w:leftChars="0" w:right="0" w:rightChars="0"/>
              <w:jc w:val="both"/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val="en-US" w:eastAsia="zh-CN"/>
              </w:rPr>
              <w:t>锅炉工</w:t>
            </w:r>
          </w:p>
        </w:tc>
        <w:tc>
          <w:tcPr>
            <w:tcW w:w="3394" w:type="pct"/>
            <w:noWrap w:val="0"/>
            <w:vAlign w:val="center"/>
          </w:tcPr>
          <w:p w14:paraId="471B72E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/>
              </w:rPr>
              <w:t>特种设备作业人员证</w:t>
            </w:r>
          </w:p>
        </w:tc>
      </w:tr>
      <w:tr w14:paraId="47AA5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605" w:type="pct"/>
            <w:noWrap w:val="0"/>
            <w:vAlign w:val="center"/>
          </w:tcPr>
          <w:p w14:paraId="0028F5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/>
              </w:rPr>
              <w:t>消控岗</w:t>
            </w:r>
          </w:p>
        </w:tc>
        <w:tc>
          <w:tcPr>
            <w:tcW w:w="3394" w:type="pct"/>
            <w:noWrap w:val="0"/>
            <w:vAlign w:val="center"/>
          </w:tcPr>
          <w:p w14:paraId="2C8FCD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300" w:lineRule="auto"/>
              <w:ind w:left="0" w:right="0"/>
              <w:jc w:val="both"/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/>
              </w:rPr>
              <w:t>24小时</w:t>
            </w: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eastAsia="zh-CN"/>
              </w:rPr>
              <w:t>，</w:t>
            </w: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/>
              </w:rPr>
              <w:t>消防设施操作员证</w:t>
            </w:r>
          </w:p>
        </w:tc>
      </w:tr>
      <w:tr w14:paraId="7C3002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</w:trPr>
        <w:tc>
          <w:tcPr>
            <w:tcW w:w="1605" w:type="pct"/>
            <w:noWrap w:val="0"/>
            <w:vAlign w:val="center"/>
          </w:tcPr>
          <w:p w14:paraId="1F1DFD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300" w:lineRule="auto"/>
              <w:ind w:left="0" w:leftChars="0" w:right="0"/>
              <w:jc w:val="both"/>
              <w:rPr>
                <w:rFonts w:hint="default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val="en-US" w:eastAsia="zh-CN"/>
              </w:rPr>
              <w:t>厨师长</w:t>
            </w:r>
          </w:p>
        </w:tc>
        <w:tc>
          <w:tcPr>
            <w:tcW w:w="3394" w:type="pct"/>
            <w:noWrap w:val="0"/>
            <w:vAlign w:val="center"/>
          </w:tcPr>
          <w:p w14:paraId="75EE5B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snapToGrid w:val="0"/>
              <w:spacing w:before="0" w:beforeAutospacing="0" w:after="0" w:afterAutospacing="0" w:line="300" w:lineRule="auto"/>
              <w:ind w:left="0" w:leftChars="0" w:right="0"/>
              <w:jc w:val="both"/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color w:val="1F2329"/>
                <w:spacing w:val="-6"/>
                <w:kern w:val="0"/>
                <w:sz w:val="32"/>
                <w:szCs w:val="32"/>
                <w:lang w:val="en-US" w:eastAsia="zh-CN"/>
              </w:rPr>
              <w:t>厨师长需有3年以上工作经验，且持有一级厨师等级证书</w:t>
            </w:r>
          </w:p>
        </w:tc>
      </w:tr>
    </w:tbl>
    <w:p w14:paraId="71BB2DF1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color w:val="1F2329"/>
        </w:rPr>
      </w:pPr>
      <w:r>
        <w:rPr>
          <w:color w:val="1F2329"/>
        </w:rPr>
        <w:t>出现人员配备不足情况，缺一人扣 1 分；人员资质不符合约定，每有一项扣 1 分；未及时报备人员信息，每有一次扣 0.5 分，扣完为止。</w:t>
      </w:r>
    </w:p>
    <w:p w14:paraId="5F49ACE6">
      <w:pPr>
        <w:pStyle w:val="11"/>
        <w:widowControl/>
        <w:numPr>
          <w:ilvl w:val="0"/>
          <w:numId w:val="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档案资料管理（2 分）</w:t>
      </w:r>
      <w:r>
        <w:rPr>
          <w:color w:val="1F2329"/>
        </w:rPr>
        <w:t>：乙方须建立完整的服务档案，包括日常巡查记录、维修记录、培训记录、考核记录等，并按要求移交甲方存档。档案不完整，每有一项扣 1 分；未按时移交档案，每有一项扣 0.5 分，扣完为止。</w:t>
      </w:r>
    </w:p>
    <w:p w14:paraId="7F9F8A3C">
      <w:pPr>
        <w:pStyle w:val="3"/>
        <w:widowControl/>
        <w:numPr>
          <w:ilvl w:val="0"/>
          <w:numId w:val="3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bdr w:val="none" w:sz="0" w:space="0"/>
        </w:rPr>
      </w:pPr>
      <w:r>
        <w:t>各分项服务质量（65 分）</w:t>
      </w:r>
    </w:p>
    <w:p w14:paraId="21FB9E62">
      <w:pPr>
        <w:pStyle w:val="4"/>
        <w:widowControl/>
        <w:numPr>
          <w:ilvl w:val="0"/>
          <w:numId w:val="5"/>
        </w:numPr>
        <w:topLinePunct w:val="0"/>
        <w:ind w:left="0" w:leftChars="0" w:firstLine="640" w:firstLineChars="0"/>
        <w:rPr>
          <w:rFonts w:hint="eastAsia" w:ascii="仿宋_GB2312" w:hAnsi="仿宋_GB2312" w:eastAsia="仿宋_GB2312" w:cs="仿宋_GB2312"/>
          <w:b w:val="0"/>
          <w:bdr w:val="none" w:sz="0" w:space="0"/>
        </w:rPr>
      </w:pPr>
      <w:r>
        <w:t>综合楼物业服务（10 分）</w:t>
      </w:r>
    </w:p>
    <w:p w14:paraId="63DDE2B6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保洁服务（5 分）</w:t>
      </w:r>
      <w:r>
        <w:rPr>
          <w:color w:val="1F2329"/>
        </w:rPr>
        <w:t>：公共区域每小时巡查一次，卫生保洁合格率达 98％ 以上。每发现一处卫生不达标扣 0.5 分；未按规定频次巡查，每次扣 1 分；保洁人员脱岗漏岗，每人次扣 1 分，扣完为止。</w:t>
      </w:r>
    </w:p>
    <w:p w14:paraId="5D226CF9">
      <w:pPr>
        <w:pStyle w:val="11"/>
        <w:widowControl/>
        <w:numPr>
          <w:ilvl w:val="0"/>
          <w:numId w:val="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住宿保洁服务（5 分）</w:t>
      </w:r>
      <w:r>
        <w:rPr>
          <w:color w:val="1F2329"/>
        </w:rPr>
        <w:t>：学员宿舍服务人员具备合同约定的履职条件，规范开展布草整理、卫生保洁等工作，空房保持待客状态。脱岗漏岗，每发现一次扣 1 分；学员宿舍卫生不达标、洗漱用品未按规定配备，每间次扣 0.5 分；培训接待或重大活动出现工作不到位，造成后果的，发生一次扣2分，扣完为止。</w:t>
      </w:r>
    </w:p>
    <w:p w14:paraId="05044270">
      <w:pPr>
        <w:pStyle w:val="4"/>
        <w:widowControl/>
        <w:numPr>
          <w:ilvl w:val="0"/>
          <w:numId w:val="5"/>
        </w:numPr>
        <w:topLinePunct w:val="0"/>
        <w:ind w:left="0" w:leftChars="0" w:firstLine="640" w:firstLineChars="0"/>
        <w:rPr>
          <w:rFonts w:hint="eastAsia" w:ascii="仿宋_GB2312" w:hAnsi="仿宋_GB2312" w:eastAsia="仿宋_GB2312" w:cs="仿宋_GB2312"/>
          <w:b w:val="0"/>
          <w:bdr w:val="none" w:sz="0" w:space="0"/>
        </w:rPr>
      </w:pPr>
      <w:r>
        <w:t>餐厅服务（12 分）</w:t>
      </w:r>
    </w:p>
    <w:p w14:paraId="60842DB7">
      <w:pPr>
        <w:pStyle w:val="11"/>
        <w:widowControl/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服务保障（3 分）</w:t>
      </w:r>
      <w:r>
        <w:rPr>
          <w:color w:val="1F2329"/>
        </w:rPr>
        <w:t>：按合同约定为甲方提供早中晚餐自助餐服务，满足不同就餐对象需求。未按规定提供餐食服务，每次扣 1 分；因服务不当引发就餐人员投诉，每次扣 1 分，扣完为止。</w:t>
      </w:r>
    </w:p>
    <w:p w14:paraId="59A907F3">
      <w:pPr>
        <w:pStyle w:val="11"/>
        <w:widowControl/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食品安全与卫生（4 分）</w:t>
      </w:r>
      <w:r>
        <w:rPr>
          <w:color w:val="1F2329"/>
        </w:rPr>
        <w:t>：严格执行食品制作加工标准，厨房厨具、餐具及就餐区域及时清洁消毒，食材收验货配合到位。食品卫生不达标，每次扣 2 分；未按规定消毒，每次扣 1 分；未配合食材收验货，每次扣 1 分，扣完为止。</w:t>
      </w:r>
    </w:p>
    <w:p w14:paraId="1DFEC7FB">
      <w:pPr>
        <w:pStyle w:val="11"/>
        <w:widowControl/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人员管理（3 分）</w:t>
      </w:r>
      <w:r>
        <w:rPr>
          <w:color w:val="1F2329"/>
        </w:rPr>
        <w:t>：按规定着装、培训后上岗。脱岗、漏岗，每人次扣 1 分；未统一着装或未培训上岗，每人次扣 0.5 分，扣完为止。</w:t>
      </w:r>
    </w:p>
    <w:p w14:paraId="03D9202A">
      <w:pPr>
        <w:pStyle w:val="11"/>
        <w:widowControl/>
        <w:numPr>
          <w:ilvl w:val="0"/>
          <w:numId w:val="7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成本控制（2 分）</w:t>
      </w:r>
      <w:r>
        <w:rPr>
          <w:color w:val="1F2329"/>
        </w:rPr>
        <w:t>：合理搭配菜系，节约成本，成本核算符合要求。因浪费导致成本超支，扣 1 分；未按规定制定菜谱，扣 1 分，扣完为止。</w:t>
      </w:r>
    </w:p>
    <w:p w14:paraId="6C4BAFF3">
      <w:pPr>
        <w:pStyle w:val="4"/>
        <w:widowControl/>
        <w:numPr>
          <w:ilvl w:val="0"/>
          <w:numId w:val="5"/>
        </w:numPr>
        <w:topLinePunct w:val="0"/>
        <w:ind w:left="0" w:leftChars="0" w:firstLine="640" w:firstLineChars="0"/>
        <w:rPr>
          <w:rFonts w:hint="eastAsia" w:ascii="仿宋_GB2312" w:hAnsi="仿宋_GB2312" w:eastAsia="仿宋_GB2312" w:cs="仿宋_GB2312"/>
          <w:b w:val="0"/>
          <w:bdr w:val="none" w:sz="0" w:space="0"/>
        </w:rPr>
      </w:pPr>
      <w:r>
        <w:t>教学培训保障会议服务（8 分）</w:t>
      </w:r>
    </w:p>
    <w:p w14:paraId="28FEAFF9">
      <w:pPr>
        <w:pStyle w:val="11"/>
        <w:widowControl/>
        <w:numPr>
          <w:ilvl w:val="0"/>
          <w:numId w:val="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前期准备（3 分）</w:t>
      </w:r>
      <w:r>
        <w:rPr>
          <w:color w:val="1F2329"/>
        </w:rPr>
        <w:t>：按培训要求做好场地布置、设备调试（音响、照明、空调、投影仪等）工作。设备调试不到位影响使用，每次扣 1 分；场地布置不符合要求，每次扣 1 分，扣完为止。</w:t>
      </w:r>
    </w:p>
    <w:p w14:paraId="5FB6E415">
      <w:pPr>
        <w:pStyle w:val="11"/>
        <w:widowControl/>
        <w:numPr>
          <w:ilvl w:val="0"/>
          <w:numId w:val="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服务质量（3 分）</w:t>
      </w:r>
      <w:r>
        <w:rPr>
          <w:color w:val="1F2329"/>
        </w:rPr>
        <w:t>：服务人员普通话标准、着装规范、服务热情，按要求提供茶水、文件传送等服务，会后及时清理现场。服务人员脱岗、漏岗、服务不到位的，每人次扣 1 分；服务不到位引发投诉，每次扣 1 分；会后未及时清理现场，每次扣 1 分，扣完为止。</w:t>
      </w:r>
    </w:p>
    <w:p w14:paraId="6C271A6C">
      <w:pPr>
        <w:pStyle w:val="11"/>
        <w:widowControl/>
        <w:numPr>
          <w:ilvl w:val="0"/>
          <w:numId w:val="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应急处置（2 分）</w:t>
      </w:r>
      <w:r>
        <w:rPr>
          <w:color w:val="1F2329"/>
        </w:rPr>
        <w:t>：熟练操作教学设施设备，能及时处理突发故障。设备故障未及时处置，每次扣 1 分，扣完为止。</w:t>
      </w:r>
    </w:p>
    <w:p w14:paraId="27DB6DF2">
      <w:pPr>
        <w:pStyle w:val="4"/>
        <w:widowControl/>
        <w:numPr>
          <w:ilvl w:val="0"/>
          <w:numId w:val="5"/>
        </w:numPr>
        <w:topLinePunct w:val="0"/>
        <w:ind w:left="0" w:leftChars="0" w:firstLine="640" w:firstLineChars="0"/>
        <w:rPr>
          <w:rFonts w:hint="eastAsia" w:ascii="仿宋_GB2312" w:hAnsi="仿宋_GB2312" w:eastAsia="仿宋_GB2312" w:cs="仿宋_GB2312"/>
          <w:b w:val="0"/>
          <w:bdr w:val="none" w:sz="0" w:space="0"/>
        </w:rPr>
      </w:pPr>
      <w:r>
        <w:t>室内外运动场馆运行服务（6 分）</w:t>
      </w:r>
    </w:p>
    <w:p w14:paraId="1690F68E">
      <w:pPr>
        <w:pStyle w:val="11"/>
        <w:widowControl/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保洁服务（2 分）</w:t>
      </w:r>
      <w:r>
        <w:rPr>
          <w:color w:val="1F2329"/>
        </w:rPr>
        <w:t>：场馆及公共区域保洁率达 95％ 以上，定期擦拭、清洗、保养。每发现一处卫生不达标扣 0.5 分，扣完为止。</w:t>
      </w:r>
    </w:p>
    <w:p w14:paraId="7F2E9ABC">
      <w:pPr>
        <w:pStyle w:val="11"/>
        <w:widowControl/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设施设备维护（3 分）</w:t>
      </w:r>
      <w:r>
        <w:rPr>
          <w:color w:val="1F2329"/>
        </w:rPr>
        <w:t>：场馆器材及设施设备日常保养到位，完好率达 99％ 以上。发现器材损坏未及时上报或处置，每次扣 1 分；因维护不当导致设备故障，每次扣 1 分，扣完为止。</w:t>
      </w:r>
    </w:p>
    <w:p w14:paraId="4A2F83D8">
      <w:pPr>
        <w:pStyle w:val="11"/>
        <w:widowControl/>
        <w:numPr>
          <w:ilvl w:val="0"/>
          <w:numId w:val="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安全管理（1 分）</w:t>
      </w:r>
      <w:r>
        <w:rPr>
          <w:color w:val="1F2329"/>
        </w:rPr>
        <w:t>：张贴器材使用管理办法，做好防火防盗工作。未张贴使用办法扣 0.5 分；因管理不当出现安全隐患，每次扣 0.5 分，扣完为止。</w:t>
      </w:r>
    </w:p>
    <w:p w14:paraId="60341EFD">
      <w:pPr>
        <w:pStyle w:val="4"/>
        <w:widowControl/>
        <w:numPr>
          <w:ilvl w:val="0"/>
          <w:numId w:val="5"/>
        </w:numPr>
        <w:topLinePunct w:val="0"/>
        <w:ind w:left="0" w:leftChars="0" w:firstLine="640" w:firstLineChars="0"/>
        <w:rPr>
          <w:rFonts w:hint="eastAsia" w:ascii="仿宋_GB2312" w:hAnsi="仿宋_GB2312" w:eastAsia="仿宋_GB2312" w:cs="仿宋_GB2312"/>
          <w:b w:val="0"/>
          <w:bdr w:val="none" w:sz="0" w:space="0"/>
        </w:rPr>
      </w:pPr>
      <w:r>
        <w:t>设施设备维修维护服务（12 分）</w:t>
      </w:r>
    </w:p>
    <w:p w14:paraId="08C3CCE7">
      <w:pPr>
        <w:pStyle w:val="11"/>
        <w:widowControl/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燃气锅炉设备管理（2 分）</w:t>
      </w:r>
      <w:r>
        <w:rPr>
          <w:color w:val="1F2329"/>
        </w:rPr>
        <w:t>：操作人员坚守岗位，按规程运行维护，做好巡检及交接班记录。脱岗、漏岗扣1 分；未按规定巡检或记录不全，每有一次扣 0.5 分，扣完为止。</w:t>
      </w:r>
    </w:p>
    <w:p w14:paraId="722A30AA">
      <w:pPr>
        <w:pStyle w:val="11"/>
        <w:widowControl/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高低压配电保障（2 分）</w:t>
      </w:r>
      <w:r>
        <w:rPr>
          <w:color w:val="1F2329"/>
        </w:rPr>
        <w:t>：岗位人员具备事故处理能力，停电切换不超过 5 分钟，应急照明设施完好率 100％。脱岗、漏岗扣 1 分；停电切换超时，每有一次扣 1 分；应急照明设施损坏未及时修复，每次扣 0.5 分，扣完为止。</w:t>
      </w:r>
    </w:p>
    <w:p w14:paraId="7E20BCD1">
      <w:pPr>
        <w:pStyle w:val="11"/>
        <w:widowControl/>
        <w:numPr>
          <w:ilvl w:val="0"/>
          <w:numId w:val="1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日常维修维护（8 分）</w:t>
      </w:r>
      <w:r>
        <w:rPr>
          <w:color w:val="1F2329"/>
        </w:rPr>
        <w:t>：接到维修任务 30 分钟内到岗，小修不过夜，合格率达 95％ 以上。未按时到岗，每有一次扣 1 分；小修超时未完成，每有一次扣 1 分；维修合格率未达标，每降低 1 个百分点扣 0.5 分；未按规定巡查排水、供水、供暖系统，每次扣 1 分；维修记录不全，每有一次扣 0.5 分，扣完为止。</w:t>
      </w:r>
    </w:p>
    <w:p w14:paraId="231ED976">
      <w:pPr>
        <w:pStyle w:val="4"/>
        <w:widowControl/>
        <w:numPr>
          <w:ilvl w:val="0"/>
          <w:numId w:val="5"/>
        </w:numPr>
        <w:topLinePunct w:val="0"/>
        <w:ind w:left="0" w:leftChars="0" w:firstLine="640" w:firstLineChars="0"/>
        <w:rPr>
          <w:rFonts w:hint="eastAsia" w:ascii="仿宋_GB2312" w:hAnsi="仿宋_GB2312" w:eastAsia="仿宋_GB2312" w:cs="仿宋_GB2312"/>
          <w:b w:val="0"/>
          <w:bdr w:val="none" w:sz="0" w:space="0"/>
        </w:rPr>
      </w:pPr>
      <w:r>
        <w:t>安保服务（10 分）</w:t>
      </w:r>
    </w:p>
    <w:p w14:paraId="45621EDD">
      <w:pPr>
        <w:pStyle w:val="11"/>
        <w:widowControl/>
        <w:numPr>
          <w:ilvl w:val="0"/>
          <w:numId w:val="1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日常安保工作（6 分）</w:t>
      </w:r>
      <w:r>
        <w:rPr>
          <w:color w:val="1F2329"/>
        </w:rPr>
        <w:t>：每 2 小时开展一次楼内巡逻，做好来客登记、车辆疏导、大门值班等工作。在岗人数不足扣1.5 分；巡逻频次不足，每有一次扣0.5分；未做好登记或疏导工作，每有一次扣 0.5 分，扣完为止。</w:t>
      </w:r>
    </w:p>
    <w:p w14:paraId="71C9D0AB">
      <w:pPr>
        <w:pStyle w:val="11"/>
        <w:widowControl/>
        <w:numPr>
          <w:ilvl w:val="0"/>
          <w:numId w:val="1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消防值班与应急（4分）</w:t>
      </w:r>
      <w:r>
        <w:rPr>
          <w:color w:val="1F2329"/>
        </w:rPr>
        <w:t>：消防控制室 24 小时值班，制定突发事件处置方案，及时处置安全隐患。脱岗、误岗每有一次扣 1 分；未及时处置安全隐患，每有一次扣 1 分；无突发事件处置方案扣 1 分，扣完为止。</w:t>
      </w:r>
    </w:p>
    <w:p w14:paraId="12554E7E">
      <w:pPr>
        <w:pStyle w:val="4"/>
        <w:widowControl/>
        <w:numPr>
          <w:ilvl w:val="0"/>
          <w:numId w:val="5"/>
        </w:numPr>
        <w:topLinePunct w:val="0"/>
        <w:ind w:left="0" w:leftChars="0" w:firstLine="640" w:firstLineChars="0"/>
        <w:rPr>
          <w:rFonts w:hint="eastAsia" w:ascii="仿宋_GB2312" w:hAnsi="仿宋_GB2312" w:eastAsia="仿宋_GB2312" w:cs="仿宋_GB2312"/>
          <w:b w:val="0"/>
          <w:bdr w:val="none" w:sz="0" w:space="0"/>
        </w:rPr>
      </w:pPr>
      <w:r>
        <w:t>大院保洁服务（7 分）</w:t>
      </w:r>
    </w:p>
    <w:p w14:paraId="78CDDE52">
      <w:pPr>
        <w:pStyle w:val="11"/>
        <w:widowControl/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日常清扫（3 分）</w:t>
      </w:r>
      <w:r>
        <w:rPr>
          <w:color w:val="1F2329"/>
        </w:rPr>
        <w:t>：每日清扫院内道路、硬化广场，保持干净整洁，定期擦拭垃圾桶、交通标识等。每发现一处清扫不彻底</w:t>
      </w:r>
      <w:r>
        <w:rPr>
          <w:color w:val="1F2329"/>
          <w:spacing wpsCustomData:val="-6" w:val="2"/>
        </w:rPr>
        <w:t>扣</w:t>
      </w:r>
      <w:r>
        <w:rPr>
          <w:color w:val="1F2329"/>
          <w:spacing wpsCustomData:val="-6" w:val="1"/>
        </w:rPr>
        <w:t xml:space="preserve"> </w:t>
      </w:r>
      <w:r>
        <w:rPr>
          <w:color w:val="1F2329"/>
          <w:spacing wpsCustomData:val="-6" w:val="-6"/>
        </w:rPr>
        <w:t>0.5</w:t>
      </w:r>
      <w:r>
        <w:rPr>
          <w:color w:val="1F2329"/>
          <w:spacing wpsCustomData:val="-6" w:val="2"/>
        </w:rPr>
        <w:t xml:space="preserve"> </w:t>
      </w:r>
      <w:r>
        <w:rPr>
          <w:color w:val="1F2329"/>
          <w:spacing wpsCustomData:val="-6" w:val="1"/>
        </w:rPr>
        <w:t>分</w:t>
      </w:r>
      <w:r>
        <w:rPr>
          <w:color w:val="1F2329"/>
          <w:spacing wpsCustomData:val="-6" w:val="2"/>
        </w:rPr>
        <w:t>；未定期擦拭相关设</w:t>
      </w:r>
      <w:r>
        <w:rPr>
          <w:color w:val="1F2329"/>
          <w:spacing wpsCustomData:val="-6" w:val="1"/>
        </w:rPr>
        <w:t>施</w:t>
      </w:r>
      <w:r>
        <w:rPr>
          <w:color w:val="1F2329"/>
          <w:spacing wpsCustomData:val="-6" w:val="2"/>
        </w:rPr>
        <w:t>，</w:t>
      </w:r>
      <w:r>
        <w:rPr>
          <w:color w:val="1F2329"/>
          <w:spacing wpsCustomData:val="-6" w:val="1"/>
        </w:rPr>
        <w:t>每有一次</w:t>
      </w:r>
      <w:r>
        <w:rPr>
          <w:color w:val="1F2329"/>
          <w:spacing wpsCustomData:val="-6" w:val="2"/>
        </w:rPr>
        <w:t>扣</w:t>
      </w:r>
      <w:r>
        <w:rPr>
          <w:color w:val="1F2329"/>
          <w:spacing wpsCustomData:val="-6" w:val="1"/>
        </w:rPr>
        <w:t xml:space="preserve"> </w:t>
      </w:r>
      <w:r>
        <w:rPr>
          <w:color w:val="1F2329"/>
          <w:spacing wpsCustomData:val="-6" w:val="-6"/>
        </w:rPr>
        <w:t>0.5</w:t>
      </w:r>
      <w:r>
        <w:rPr>
          <w:color w:val="1F2329"/>
          <w:spacing wpsCustomData:val="-6" w:val="2"/>
        </w:rPr>
        <w:t xml:space="preserve"> </w:t>
      </w:r>
      <w:r>
        <w:rPr>
          <w:color w:val="1F2329"/>
          <w:spacing wpsCustomData:val="-6" w:val="1"/>
        </w:rPr>
        <w:t>分</w:t>
      </w:r>
      <w:r>
        <w:rPr>
          <w:color w:val="1F2329"/>
          <w:spacing wpsCustomData:val="-6" w:val="2"/>
        </w:rPr>
        <w:t>，扣</w:t>
      </w:r>
      <w:r>
        <w:rPr>
          <w:color w:val="1F2329"/>
          <w:spacing wpsCustomData:val="-6" w:val="-6"/>
        </w:rPr>
        <w:t>完</w:t>
      </w:r>
      <w:r>
        <w:rPr>
          <w:color w:val="1F2329"/>
        </w:rPr>
        <w:t>为止。</w:t>
      </w:r>
    </w:p>
    <w:p w14:paraId="296FF332">
      <w:pPr>
        <w:pStyle w:val="11"/>
        <w:widowControl/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应急处置（2 分）</w:t>
      </w:r>
      <w:r>
        <w:rPr>
          <w:color w:val="1F2329"/>
        </w:rPr>
        <w:t>：遇沙尘、暴雨、降雪天气及时清理。未及时清理，每有一次扣 1 分，扣完为止。</w:t>
      </w:r>
    </w:p>
    <w:p w14:paraId="7B612A0F">
      <w:pPr>
        <w:pStyle w:val="11"/>
        <w:widowControl/>
        <w:numPr>
          <w:ilvl w:val="0"/>
          <w:numId w:val="12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人员与设备（2 分）</w:t>
      </w:r>
      <w:r>
        <w:rPr>
          <w:color w:val="1F2329"/>
        </w:rPr>
        <w:t>：甲方提供的清扫设备妥善保管、正常使用。人员脱岗、漏岗，每人次扣 1 分；设备损坏未及时上报或妥善保管，每次扣 1 分，扣完为止。</w:t>
      </w:r>
    </w:p>
    <w:p w14:paraId="227A79F9">
      <w:pPr>
        <w:pStyle w:val="3"/>
        <w:widowControl/>
        <w:numPr>
          <w:ilvl w:val="0"/>
          <w:numId w:val="3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bdr w:val="none" w:sz="0" w:space="0"/>
        </w:rPr>
      </w:pPr>
      <w:r>
        <w:t>费用与合规管理（10 分）</w:t>
      </w:r>
    </w:p>
    <w:p w14:paraId="593634E9">
      <w:pPr>
        <w:pStyle w:val="11"/>
        <w:widowControl/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费用结算与发票（4 分）</w:t>
      </w:r>
      <w:r>
        <w:rPr>
          <w:color w:val="1F2329"/>
        </w:rPr>
        <w:t>：乙方按合同要求提供等额有效发票，发票符合甲方财务及政府采购支付要求。未按规定提供发票，每次扣 2 分；发票不符合要求，每次扣 1 分，扣完为止。</w:t>
      </w:r>
    </w:p>
    <w:p w14:paraId="5F1DEA35">
      <w:pPr>
        <w:pStyle w:val="11"/>
        <w:widowControl/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劳动保障合规（3 分）</w:t>
      </w:r>
      <w:r>
        <w:rPr>
          <w:color w:val="1F2329"/>
        </w:rPr>
        <w:t>：</w:t>
      </w:r>
      <w:r>
        <w:rPr>
          <w:color w:val="0000FF"/>
        </w:rPr>
        <w:t>乙方严格按照《中华人民共和国民法典》《中华人民共和国劳动法》《中华人民共和国劳动合同法》《中华人民共和国社会保险法》等法律法规保障劳动者权益，发现损害劳动者权益的行为，每有一项扣一分，扣完为止。</w:t>
      </w:r>
    </w:p>
    <w:p w14:paraId="68FB4692">
      <w:pPr>
        <w:pStyle w:val="11"/>
        <w:widowControl/>
        <w:numPr>
          <w:ilvl w:val="0"/>
          <w:numId w:val="13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资产管控（3 分）</w:t>
      </w:r>
      <w:r>
        <w:rPr>
          <w:color w:val="1F2329"/>
        </w:rPr>
        <w:t>：协助甲方管控固定资产及非固定资产，做好定期盘点工作。盘点不及时，每有一次扣 1 分；因管控不当导致资产损坏、灭失、无法正常使用、浪费，每有一次扣 1 分，扣完为止。</w:t>
      </w:r>
    </w:p>
    <w:p w14:paraId="0CAF798F">
      <w:pPr>
        <w:pStyle w:val="3"/>
        <w:widowControl/>
        <w:numPr>
          <w:ilvl w:val="0"/>
          <w:numId w:val="3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bdr w:val="none" w:sz="0" w:space="0"/>
        </w:rPr>
      </w:pPr>
      <w:r>
        <w:t>投诉与整改（10 分）</w:t>
      </w:r>
    </w:p>
    <w:p w14:paraId="22541608">
      <w:pPr>
        <w:pStyle w:val="11"/>
        <w:widowControl/>
        <w:numPr>
          <w:ilvl w:val="0"/>
          <w:numId w:val="1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投诉处理（5 分）</w:t>
      </w:r>
      <w:r>
        <w:rPr>
          <w:color w:val="1F2329"/>
        </w:rPr>
        <w:t>：甲方或服务使用方对乙方服务提出投诉，乙方须在 24 小时内响应，3 日内反馈处理结果。未及时响应，每次扣 2 分；未按时反馈处理结果，每次扣 1 分；投诉处理不满意，每次扣 1 分，扣完为止。</w:t>
      </w:r>
    </w:p>
    <w:p w14:paraId="319A6F68">
      <w:pPr>
        <w:pStyle w:val="11"/>
        <w:widowControl/>
        <w:numPr>
          <w:ilvl w:val="0"/>
          <w:numId w:val="14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19"/>
        </w:rPr>
        <w:t>整改执行（5 分）</w:t>
      </w:r>
      <w:r>
        <w:rPr>
          <w:color w:val="1F2329"/>
        </w:rPr>
        <w:t>：接到甲方书面整改通知后，3 日内提交书面整改报告并落实整改措施。未提交整改报告，每次扣 2 分；整改不及时或未达到要求，每次扣 1 分；同一问题经 2 次以上（含 2 次）整改仍未达标，每次扣 2 分，扣完为止。</w:t>
      </w:r>
    </w:p>
    <w:p w14:paraId="51FAD6E3">
      <w:pPr>
        <w:pStyle w:val="2"/>
        <w:widowControl/>
        <w:numPr>
          <w:ilvl w:val="0"/>
          <w:numId w:val="1"/>
        </w:numPr>
        <w:topLinePunct w:val="0"/>
        <w:ind w:left="0" w:leftChars="0" w:firstLine="640" w:firstLineChars="0"/>
        <w:rPr>
          <w:b w:val="0"/>
          <w:bdr w:val="none" w:sz="0" w:space="0"/>
        </w:rPr>
      </w:pPr>
      <w:r>
        <w:t>考核流程</w:t>
      </w:r>
    </w:p>
    <w:p w14:paraId="083F45AF">
      <w:pPr>
        <w:pStyle w:val="11"/>
        <w:widowControl/>
        <w:numPr>
          <w:ilvl w:val="0"/>
          <w:numId w:val="1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楷体_GB2312" w:hAnsi="楷体_GB2312" w:eastAsia="楷体_GB2312" w:cs="楷体_GB2312"/>
          <w:b w:val="0"/>
          <w:color w:val="auto"/>
          <w:bdr w:val="none" w:sz="0" w:space="0"/>
        </w:rPr>
      </w:pPr>
      <w:r>
        <w:rPr>
          <w:rStyle w:val="20"/>
        </w:rPr>
        <w:t>数据收集</w:t>
      </w:r>
      <w:r>
        <w:rPr>
          <w:color w:val="1F2329"/>
        </w:rPr>
        <w:t>：考核周期内，考核小组通过日常巡查、现场检查、资料查阅、投诉记录、整改反馈等方式，收集乙方服务相关数据和信息。</w:t>
      </w:r>
    </w:p>
    <w:p w14:paraId="372BD495">
      <w:pPr>
        <w:pStyle w:val="11"/>
        <w:widowControl/>
        <w:numPr>
          <w:ilvl w:val="0"/>
          <w:numId w:val="1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楷体_GB2312" w:hAnsi="楷体_GB2312" w:eastAsia="楷体_GB2312" w:cs="楷体_GB2312"/>
          <w:b w:val="0"/>
          <w:color w:val="auto"/>
          <w:bdr w:val="none" w:sz="0" w:space="0"/>
        </w:rPr>
      </w:pPr>
      <w:r>
        <w:rPr>
          <w:rStyle w:val="20"/>
        </w:rPr>
        <w:t>初步评分</w:t>
      </w:r>
      <w:r>
        <w:rPr>
          <w:color w:val="1F2329"/>
        </w:rPr>
        <w:t>：考核期末，考核小组依据本细则规定的考核指标和评分标准，对乙方服务情况进行初步评分，并形成初步考核意见。</w:t>
      </w:r>
    </w:p>
    <w:p w14:paraId="79824AB5">
      <w:pPr>
        <w:pStyle w:val="11"/>
        <w:widowControl/>
        <w:numPr>
          <w:ilvl w:val="0"/>
          <w:numId w:val="1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楷体_GB2312" w:hAnsi="楷体_GB2312" w:eastAsia="楷体_GB2312" w:cs="楷体_GB2312"/>
          <w:b w:val="0"/>
          <w:color w:val="auto"/>
          <w:bdr w:val="none" w:sz="0" w:space="0"/>
        </w:rPr>
      </w:pPr>
      <w:r>
        <w:rPr>
          <w:rStyle w:val="20"/>
        </w:rPr>
        <w:t>意见反馈</w:t>
      </w:r>
      <w:r>
        <w:rPr>
          <w:color w:val="1F2329"/>
        </w:rPr>
        <w:t>：将初步考核结果及相关依据反馈给乙方，乙方如有异议，可在 3 个工作日内提交书面申诉及相关证明材料。</w:t>
      </w:r>
    </w:p>
    <w:p w14:paraId="376F84AF">
      <w:pPr>
        <w:pStyle w:val="11"/>
        <w:widowControl/>
        <w:numPr>
          <w:ilvl w:val="0"/>
          <w:numId w:val="1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楷体_GB2312" w:hAnsi="楷体_GB2312" w:eastAsia="楷体_GB2312" w:cs="楷体_GB2312"/>
          <w:b w:val="0"/>
          <w:color w:val="auto"/>
          <w:bdr w:val="none" w:sz="0" w:space="0"/>
        </w:rPr>
      </w:pPr>
      <w:r>
        <w:rPr>
          <w:rStyle w:val="20"/>
        </w:rPr>
        <w:t>复核确认</w:t>
      </w:r>
      <w:r>
        <w:rPr>
          <w:color w:val="1F2329"/>
        </w:rPr>
        <w:t>：考核小组对乙方申诉进行复核，结合复核情况调整考核得分，最终确定考核等级，并形成正式考核报告。</w:t>
      </w:r>
    </w:p>
    <w:p w14:paraId="1D9C284E">
      <w:pPr>
        <w:pStyle w:val="11"/>
        <w:widowControl/>
        <w:numPr>
          <w:ilvl w:val="0"/>
          <w:numId w:val="15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楷体_GB2312" w:hAnsi="楷体_GB2312" w:eastAsia="楷体_GB2312" w:cs="楷体_GB2312"/>
          <w:b w:val="0"/>
          <w:color w:val="auto"/>
          <w:bdr w:val="none" w:sz="0" w:space="0"/>
        </w:rPr>
      </w:pPr>
      <w:r>
        <w:rPr>
          <w:rStyle w:val="20"/>
        </w:rPr>
        <w:t>结果公示</w:t>
      </w:r>
      <w:r>
        <w:rPr>
          <w:color w:val="1F2329"/>
        </w:rPr>
        <w:t>：正式考核报告在基地内公示 3 个工作日，公示无异议后生效。</w:t>
      </w:r>
    </w:p>
    <w:p w14:paraId="17E93981">
      <w:pPr>
        <w:pStyle w:val="2"/>
        <w:widowControl/>
        <w:numPr>
          <w:ilvl w:val="0"/>
          <w:numId w:val="1"/>
        </w:numPr>
        <w:topLinePunct w:val="0"/>
        <w:ind w:left="0" w:leftChars="0" w:firstLine="640" w:firstLineChars="0"/>
        <w:rPr>
          <w:b w:val="0"/>
          <w:bdr w:val="none" w:sz="0" w:space="0"/>
        </w:rPr>
      </w:pPr>
      <w:r>
        <w:t>考核等级划分</w:t>
      </w:r>
    </w:p>
    <w:p w14:paraId="2377C3B2">
      <w:pPr>
        <w:pStyle w:val="11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rPr>
          <w:color w:val="1F2329"/>
        </w:rPr>
      </w:pPr>
      <w:r>
        <w:rPr>
          <w:color w:val="1F2329"/>
        </w:rPr>
        <w:t>根据考核得分，将考核结果划分为四个等级：</w:t>
      </w:r>
    </w:p>
    <w:p w14:paraId="10457EBA">
      <w:pPr>
        <w:pStyle w:val="11"/>
        <w:widowControl/>
        <w:numPr>
          <w:ilvl w:val="0"/>
          <w:numId w:val="1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楷体_GB2312" w:hAnsi="楷体_GB2312" w:eastAsia="楷体_GB2312" w:cs="楷体_GB2312"/>
          <w:b w:val="0"/>
          <w:color w:val="auto"/>
          <w:bdr w:val="none" w:sz="0" w:space="0"/>
        </w:rPr>
      </w:pPr>
      <w:r>
        <w:rPr>
          <w:rStyle w:val="20"/>
        </w:rPr>
        <w:t>优秀</w:t>
      </w:r>
      <w:r>
        <w:rPr>
          <w:color w:val="1F2329"/>
        </w:rPr>
        <w:t>：得分≥90 分，服务质量优异，完全符合合同约定。</w:t>
      </w:r>
    </w:p>
    <w:p w14:paraId="610149FA">
      <w:pPr>
        <w:pStyle w:val="11"/>
        <w:widowControl/>
        <w:numPr>
          <w:ilvl w:val="0"/>
          <w:numId w:val="1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楷体_GB2312" w:hAnsi="楷体_GB2312" w:eastAsia="楷体_GB2312" w:cs="楷体_GB2312"/>
          <w:b w:val="0"/>
          <w:color w:val="auto"/>
          <w:bdr w:val="none" w:sz="0" w:space="0"/>
        </w:rPr>
      </w:pPr>
      <w:r>
        <w:rPr>
          <w:rStyle w:val="20"/>
        </w:rPr>
        <w:t>合格</w:t>
      </w:r>
      <w:r>
        <w:rPr>
          <w:color w:val="1F2329"/>
        </w:rPr>
        <w:t>：80 分≤得分＜90 分，服务质量基本符合合同约定，无重大问题。</w:t>
      </w:r>
    </w:p>
    <w:p w14:paraId="36B6B44B">
      <w:pPr>
        <w:pStyle w:val="11"/>
        <w:widowControl/>
        <w:numPr>
          <w:ilvl w:val="0"/>
          <w:numId w:val="1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楷体_GB2312" w:hAnsi="楷体_GB2312" w:eastAsia="楷体_GB2312" w:cs="楷体_GB2312"/>
          <w:b w:val="0"/>
          <w:color w:val="auto"/>
          <w:bdr w:val="none" w:sz="0" w:space="0"/>
        </w:rPr>
      </w:pPr>
      <w:r>
        <w:rPr>
          <w:rStyle w:val="20"/>
        </w:rPr>
        <w:t>基本合格</w:t>
      </w:r>
      <w:r>
        <w:rPr>
          <w:color w:val="1F2329"/>
        </w:rPr>
        <w:t>：70 分≤得分＜80 分，服务质量存在一定不足，须限期整改。</w:t>
      </w:r>
    </w:p>
    <w:p w14:paraId="0AAB3A12">
      <w:pPr>
        <w:pStyle w:val="11"/>
        <w:widowControl/>
        <w:numPr>
          <w:ilvl w:val="0"/>
          <w:numId w:val="16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楷体_GB2312" w:hAnsi="楷体_GB2312" w:eastAsia="楷体_GB2312" w:cs="楷体_GB2312"/>
          <w:b w:val="0"/>
          <w:color w:val="auto"/>
          <w:bdr w:val="none" w:sz="0" w:space="0"/>
        </w:rPr>
      </w:pPr>
      <w:r>
        <w:rPr>
          <w:rStyle w:val="20"/>
        </w:rPr>
        <w:t>不合格</w:t>
      </w:r>
      <w:r>
        <w:rPr>
          <w:color w:val="1F2329"/>
        </w:rPr>
        <w:t>：得分＜70 分，服务质量严重不符合合同约定，存在重大违约或安全隐患。</w:t>
      </w:r>
    </w:p>
    <w:p w14:paraId="7BACDE4B">
      <w:pPr>
        <w:pStyle w:val="2"/>
        <w:widowControl/>
        <w:numPr>
          <w:ilvl w:val="0"/>
          <w:numId w:val="1"/>
        </w:numPr>
        <w:topLinePunct w:val="0"/>
        <w:ind w:left="0" w:leftChars="0" w:firstLine="640" w:firstLineChars="0"/>
        <w:rPr>
          <w:b w:val="0"/>
          <w:bdr w:val="none" w:sz="0" w:space="0"/>
        </w:rPr>
      </w:pPr>
      <w:r>
        <w:t>考核结果应用</w:t>
      </w:r>
    </w:p>
    <w:p w14:paraId="3A534CCF">
      <w:pPr>
        <w:pStyle w:val="3"/>
        <w:widowControl/>
        <w:numPr>
          <w:ilvl w:val="0"/>
          <w:numId w:val="17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bdr w:val="none" w:sz="0" w:space="0"/>
        </w:rPr>
      </w:pPr>
      <w:r>
        <w:t>与服务费用支付挂钩</w:t>
      </w:r>
    </w:p>
    <w:p w14:paraId="06C4DFEA">
      <w:pPr>
        <w:pStyle w:val="11"/>
        <w:widowControl/>
        <w:numPr>
          <w:ilvl w:val="0"/>
          <w:numId w:val="1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21"/>
          <w:spacing wpsCustomData:val="-6" w:val="-1"/>
        </w:rPr>
        <w:t>季</w:t>
      </w:r>
      <w:r>
        <w:rPr>
          <w:rStyle w:val="21"/>
          <w:spacing wpsCustomData:val="-6" w:val="0"/>
        </w:rPr>
        <w:t>度考核</w:t>
      </w:r>
      <w:r>
        <w:rPr>
          <w:rStyle w:val="21"/>
          <w:spacing wpsCustomData:val="-6" w:val="-1"/>
        </w:rPr>
        <w:t>为</w:t>
      </w:r>
      <w:r>
        <w:rPr>
          <w:rStyle w:val="21"/>
          <w:spacing wpsCustomData:val="-6" w:val="0"/>
        </w:rPr>
        <w:t xml:space="preserve"> </w:t>
      </w:r>
      <w:r>
        <w:rPr>
          <w:rStyle w:val="21"/>
          <w:spacing wpsCustomData:val="-6" w:val="-1"/>
        </w:rPr>
        <w:t>“</w:t>
      </w:r>
      <w:r>
        <w:rPr>
          <w:rStyle w:val="21"/>
          <w:spacing wpsCustomData:val="-6" w:val="0"/>
        </w:rPr>
        <w:t>优</w:t>
      </w:r>
      <w:r>
        <w:rPr>
          <w:rStyle w:val="21"/>
          <w:spacing wpsCustomData:val="-6" w:val="-1"/>
        </w:rPr>
        <w:t>秀</w:t>
      </w:r>
      <w:r>
        <w:rPr>
          <w:rStyle w:val="21"/>
          <w:spacing wpsCustomData:val="-6" w:val="0"/>
        </w:rPr>
        <w:t>”</w:t>
      </w:r>
      <w:r>
        <w:rPr>
          <w:rStyle w:val="21"/>
          <w:spacing wpsCustomData:val="-6" w:val="-1"/>
        </w:rPr>
        <w:t>或</w:t>
      </w:r>
      <w:r>
        <w:rPr>
          <w:rStyle w:val="21"/>
          <w:spacing wpsCustomData:val="-6" w:val="0"/>
        </w:rPr>
        <w:t>“</w:t>
      </w:r>
      <w:r>
        <w:rPr>
          <w:rStyle w:val="21"/>
          <w:spacing wpsCustomData:val="-6" w:val="-1"/>
        </w:rPr>
        <w:t>合</w:t>
      </w:r>
      <w:r>
        <w:rPr>
          <w:rStyle w:val="21"/>
          <w:spacing wpsCustomData:val="-6" w:val="0"/>
        </w:rPr>
        <w:t>格</w:t>
      </w:r>
      <w:r>
        <w:rPr>
          <w:rStyle w:val="21"/>
          <w:spacing wpsCustomData:val="-6" w:val="-1"/>
        </w:rPr>
        <w:t>”</w:t>
      </w:r>
      <w:r>
        <w:rPr>
          <w:color w:val="0000FF"/>
          <w:spacing wpsCustomData:val="-6" w:val="0"/>
        </w:rPr>
        <w:t>：</w:t>
      </w:r>
      <w:r>
        <w:rPr>
          <w:color w:val="0000FF"/>
          <w:spacing wpsCustomData:val="-6" w:val="-1"/>
        </w:rPr>
        <w:t>全</w:t>
      </w:r>
      <w:r>
        <w:rPr>
          <w:color w:val="0000FF"/>
          <w:spacing wpsCustomData:val="-6" w:val="0"/>
        </w:rPr>
        <w:t>额支付该季度物业服</w:t>
      </w:r>
      <w:r>
        <w:rPr>
          <w:color w:val="0000FF"/>
          <w:spacing wpsCustomData:val="-6" w:val="-6"/>
        </w:rPr>
        <w:t>务</w:t>
      </w:r>
      <w:r>
        <w:rPr>
          <w:color w:val="0000FF"/>
        </w:rPr>
        <w:t>费用。</w:t>
      </w:r>
    </w:p>
    <w:p w14:paraId="107677BA">
      <w:pPr>
        <w:pStyle w:val="11"/>
        <w:widowControl/>
        <w:numPr>
          <w:ilvl w:val="0"/>
          <w:numId w:val="1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21"/>
        </w:rPr>
        <w:t>季度考核为 “基本合格”</w:t>
      </w:r>
      <w:r>
        <w:rPr>
          <w:color w:val="1F2329"/>
        </w:rPr>
        <w:t>：支付该季度</w:t>
      </w:r>
      <w:r>
        <w:rPr>
          <w:rFonts w:hint="eastAsia"/>
          <w:color w:val="1F2329"/>
          <w:lang w:val="en-US" w:eastAsia="zh-CN"/>
        </w:rPr>
        <w:t>管理费</w:t>
      </w:r>
      <w:r>
        <w:rPr>
          <w:color w:val="1F2329"/>
        </w:rPr>
        <w:t>的 80％。</w:t>
      </w:r>
    </w:p>
    <w:p w14:paraId="37FDEE26">
      <w:pPr>
        <w:pStyle w:val="11"/>
        <w:widowControl/>
        <w:numPr>
          <w:ilvl w:val="0"/>
          <w:numId w:val="18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auto"/>
          <w:bdr w:val="none" w:sz="0" w:space="0"/>
        </w:rPr>
      </w:pPr>
      <w:r>
        <w:rPr>
          <w:rStyle w:val="21"/>
        </w:rPr>
        <w:t>季度考核为 “不合格”</w:t>
      </w:r>
      <w:r>
        <w:rPr>
          <w:color w:val="1F2329"/>
        </w:rPr>
        <w:t>：暂停支付该季度服务费用，乙方须在 15 日内完成全面整改，经甲方复核合格后，支付该季度</w:t>
      </w:r>
      <w:r>
        <w:rPr>
          <w:rFonts w:hint="eastAsia"/>
          <w:color w:val="1F2329"/>
          <w:lang w:val="en-US" w:eastAsia="zh-CN"/>
        </w:rPr>
        <w:t>管理费</w:t>
      </w:r>
      <w:r>
        <w:rPr>
          <w:color w:val="1F2329"/>
        </w:rPr>
        <w:t>的 60％；若复核仍不合格，甲方有权</w:t>
      </w:r>
      <w:r>
        <w:rPr>
          <w:rFonts w:hint="eastAsia"/>
          <w:color w:val="1F2329"/>
          <w:lang w:val="en-US" w:eastAsia="zh-CN"/>
        </w:rPr>
        <w:t>解除物业服务合同且乙方须</w:t>
      </w:r>
      <w:bookmarkStart w:id="0" w:name="_GoBack"/>
      <w:bookmarkEnd w:id="0"/>
      <w:r>
        <w:rPr>
          <w:rFonts w:hint="eastAsia"/>
          <w:color w:val="1F2329"/>
          <w:lang w:val="en-US" w:eastAsia="zh-CN"/>
        </w:rPr>
        <w:t>承担违约责任，并赔偿甲方损失。</w:t>
      </w:r>
    </w:p>
    <w:p w14:paraId="390CA4DF">
      <w:pPr>
        <w:pStyle w:val="3"/>
        <w:widowControl/>
        <w:numPr>
          <w:ilvl w:val="0"/>
          <w:numId w:val="17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bdr w:val="none" w:sz="0" w:space="0"/>
        </w:rPr>
      </w:pPr>
      <w:r>
        <w:t>与合同履行挂钩</w:t>
      </w:r>
    </w:p>
    <w:p w14:paraId="47A88122">
      <w:pPr>
        <w:pStyle w:val="11"/>
        <w:widowControl/>
        <w:numPr>
          <w:ilvl w:val="0"/>
          <w:numId w:val="1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年度考核为 “优秀”：甲方优先考虑与乙方续签下一年度物业服务合同。</w:t>
      </w:r>
    </w:p>
    <w:p w14:paraId="27C1208F">
      <w:pPr>
        <w:pStyle w:val="11"/>
        <w:widowControl/>
        <w:numPr>
          <w:ilvl w:val="0"/>
          <w:numId w:val="1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年度内有 2 次季度考核为 “基本合格”：甲方对乙方进行约谈，要求其提交专项改进方案，后续加强监管频次。</w:t>
      </w:r>
    </w:p>
    <w:p w14:paraId="474C6230">
      <w:pPr>
        <w:pStyle w:val="11"/>
        <w:widowControl/>
        <w:numPr>
          <w:ilvl w:val="0"/>
          <w:numId w:val="1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年度内有 1 次季度考核为 “不合格” 或 3 次季度考核为 “基本合格”：视为乙方严重违约，甲方有权按合同约定解除本合同，乙方须承担相应违约责任，赔偿甲方损失。</w:t>
      </w:r>
    </w:p>
    <w:p w14:paraId="43DA37CD">
      <w:pPr>
        <w:pStyle w:val="11"/>
        <w:widowControl/>
        <w:numPr>
          <w:ilvl w:val="0"/>
          <w:numId w:val="19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同一问题经甲方 3 次以上（含 3 次）书面整改通知，乙方仍未整改或整改后仍不能达到要求的，直接判定该季度考核为 “不合格”，甲方有权解除合同，无须承担违约责任，同时追究乙方相关赔偿责任。</w:t>
      </w:r>
    </w:p>
    <w:p w14:paraId="1309C06B">
      <w:pPr>
        <w:pStyle w:val="3"/>
        <w:widowControl/>
        <w:numPr>
          <w:ilvl w:val="0"/>
          <w:numId w:val="17"/>
        </w:numPr>
        <w:topLinePunct w:val="0"/>
        <w:ind w:left="0" w:leftChars="0" w:firstLine="640" w:firstLineChars="0"/>
        <w:rPr>
          <w:rFonts w:hint="eastAsia" w:ascii="楷体_GB2312" w:hAnsi="楷体_GB2312" w:eastAsia="楷体_GB2312" w:cs="楷体_GB2312"/>
          <w:b w:val="0"/>
          <w:bdr w:val="none" w:sz="0" w:space="0"/>
        </w:rPr>
      </w:pPr>
      <w:r>
        <w:t>其他处理</w:t>
      </w:r>
    </w:p>
    <w:p w14:paraId="65FE4D2E">
      <w:pPr>
        <w:pStyle w:val="11"/>
        <w:widowControl/>
        <w:numPr>
          <w:ilvl w:val="0"/>
          <w:numId w:val="2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乙方未按合同约定配备人员、设备，或存在违规用工、未购买保险等行为，除按本细则扣分外，甲方有权按合同约定要求乙方承担违约责任，违约金按合同总金额的 20％ 计算；若造成甲方或第三方损失的，乙方须全额赔偿。</w:t>
      </w:r>
    </w:p>
    <w:p w14:paraId="10A37503">
      <w:pPr>
        <w:pStyle w:val="11"/>
        <w:widowControl/>
        <w:numPr>
          <w:ilvl w:val="0"/>
          <w:numId w:val="2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乙方违反保密义务、权利保证义务等合同约定的，除按相关条款承担责任外，在考核中直接扣 10 分，情节严重的，判定为 “不合格” 并解除合同。</w:t>
      </w:r>
    </w:p>
    <w:p w14:paraId="34200E1E">
      <w:pPr>
        <w:pStyle w:val="11"/>
        <w:widowControl/>
        <w:numPr>
          <w:ilvl w:val="0"/>
          <w:numId w:val="2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因乙方服务不当导致基地发生安全事故、重大财产损失或不良社会影响的，无论考核得分多少，均判定为 “不合格”，甲方有权解除合同，乙方须承担全部赔偿责任及相应法律责任。</w:t>
      </w:r>
    </w:p>
    <w:p w14:paraId="4520FE18">
      <w:pPr>
        <w:pStyle w:val="2"/>
        <w:widowControl/>
        <w:numPr>
          <w:ilvl w:val="0"/>
          <w:numId w:val="1"/>
        </w:numPr>
        <w:topLinePunct w:val="0"/>
        <w:ind w:left="0" w:leftChars="0" w:firstLine="640" w:firstLineChars="0"/>
        <w:rPr>
          <w:b w:val="0"/>
          <w:bdr w:val="none" w:sz="0" w:space="0"/>
        </w:rPr>
      </w:pPr>
      <w:r>
        <w:t>附则</w:t>
      </w:r>
    </w:p>
    <w:p w14:paraId="26BF66D2">
      <w:pPr>
        <w:pStyle w:val="11"/>
        <w:widowControl/>
        <w:numPr>
          <w:ilvl w:val="0"/>
          <w:numId w:val="2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本细则未尽事宜，按照《物业管理服务合同》及相关法律法规执行；本细则与合同约定不一致的，以合同约定为准。</w:t>
      </w:r>
    </w:p>
    <w:p w14:paraId="32B74417">
      <w:pPr>
        <w:pStyle w:val="11"/>
        <w:widowControl/>
        <w:numPr>
          <w:ilvl w:val="0"/>
          <w:numId w:val="2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甲方可根据基地实际运行情况及乙方服务表现，对本细则考核指标及评分标准进行合理调整，调整须提前 3 日书面通知乙方，双方无异议后生效。</w:t>
      </w:r>
    </w:p>
    <w:p w14:paraId="7BFF3B7D">
      <w:pPr>
        <w:pStyle w:val="11"/>
        <w:widowControl/>
        <w:numPr>
          <w:ilvl w:val="0"/>
          <w:numId w:val="2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  <w:spacing wpsCustomData:val="-6" w:val="2"/>
        </w:rPr>
        <w:t>本细则由巴彦淖尔市公安局人民警察实战训练基地负</w:t>
      </w:r>
      <w:r>
        <w:rPr>
          <w:color w:val="1F2329"/>
          <w:spacing wpsCustomData:val="-6" w:val="-6"/>
        </w:rPr>
        <w:t>责</w:t>
      </w:r>
      <w:r>
        <w:rPr>
          <w:color w:val="1F2329"/>
        </w:rPr>
        <w:t>解释。</w:t>
      </w:r>
    </w:p>
    <w:p w14:paraId="5FAE9865">
      <w:pPr>
        <w:pStyle w:val="11"/>
        <w:widowControl/>
        <w:numPr>
          <w:ilvl w:val="0"/>
          <w:numId w:val="21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topLinePunct w:val="0"/>
        <w:ind w:left="0" w:leftChars="0" w:firstLine="616" w:firstLineChars="0"/>
        <w:rPr>
          <w:rFonts w:hint="eastAsia" w:ascii="仿宋_GB2312" w:hAnsi="仿宋_GB2312" w:eastAsia="仿宋_GB2312" w:cs="仿宋_GB2312"/>
          <w:b w:val="0"/>
          <w:color w:val="1F2329"/>
          <w:bdr w:val="none" w:sz="0" w:space="0"/>
        </w:rPr>
      </w:pPr>
      <w:r>
        <w:rPr>
          <w:color w:val="1F2329"/>
        </w:rPr>
        <w:t>本细则自双方签字盖章之日起生效，与《物业管理服务合同》同期执行。</w:t>
      </w:r>
    </w:p>
    <w:p w14:paraId="367300D1">
      <w:pPr>
        <w:pStyle w:val="11"/>
        <w:bidi w:val="0"/>
        <w:rPr>
          <w:rFonts w:hint="eastAsia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2098" w:right="1474" w:bottom="1984" w:left="1587" w:header="851" w:footer="1417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楷体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1" w:fontKey="{D2A27C01-8850-4149-9968-9D3C34F0C4B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259E5D2D-E299-4DF5-8088-023C5A61DAB4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7F8410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F24F36A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1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7F24F36A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1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CDF56C">
    <w:pPr>
      <w:pStyle w:val="1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12700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B412B3">
                          <w:pPr>
                            <w:pStyle w:val="12"/>
                            <w:rPr>
                              <w:rFonts w:ascii="宋体" w:hAnsi="宋体" w:eastAsia="宋体"/>
                              <w:sz w:val="28"/>
                            </w:rPr>
                          </w:pP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2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ascii="宋体" w:hAnsi="宋体" w:eastAsia="宋体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3200" tIns="0" rIns="20320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1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">
              <v:fill on="f" focussize="0,0"/>
              <v:stroke on="f" weight="0.5pt"/>
              <v:imagedata o:title=""/>
              <o:lock v:ext="edit" aspectratio="f"/>
              <v:textbox inset="16pt,0mm,16pt,0mm" style="mso-fit-shape-to-text:t;">
                <w:txbxContent>
                  <w:p w14:paraId="28B412B3">
                    <w:pPr>
                      <w:pStyle w:val="12"/>
                      <w:rPr>
                        <w:rFonts w:ascii="宋体" w:hAnsi="宋体" w:eastAsia="宋体"/>
                        <w:sz w:val="28"/>
                      </w:rPr>
                    </w:pP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begin"/>
                    </w:r>
                    <w:r>
                      <w:rPr>
                        <w:rFonts w:ascii="宋体" w:hAnsi="宋体" w:eastAsia="宋体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separate"/>
                    </w:r>
                    <w:r>
                      <w:rPr>
                        <w:rFonts w:ascii="宋体" w:hAnsi="宋体" w:eastAsia="宋体"/>
                        <w:sz w:val="28"/>
                      </w:rPr>
                      <w:t>2</w:t>
                    </w:r>
                    <w:r>
                      <w:rPr>
                        <w:rFonts w:ascii="宋体" w:hAnsi="宋体" w:eastAsia="宋体"/>
                        <w:sz w:val="28"/>
                      </w:rPr>
                      <w:fldChar w:fldCharType="end"/>
                    </w:r>
                    <w:r>
                      <w:rPr>
                        <w:rFonts w:ascii="宋体" w:hAnsi="宋体" w:eastAsia="宋体"/>
                        <w:sz w:val="24"/>
                      </w:rPr>
                      <w:t xml:space="preserve"> </w:t>
                    </w:r>
                    <w:r>
                      <w:rPr>
                        <w:rFonts w:ascii="宋体" w:hAnsi="宋体" w:eastAsia="宋体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4234DD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EF307A">
    <w:pPr>
      <w:pStyle w:val="13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0CBB499"/>
    <w:multiLevelType w:val="singleLevel"/>
    <w:tmpl w:val="90CBB499"/>
    <w:lvl w:ilvl="0" w:tentative="0">
      <w:start w:val="1"/>
      <w:numFmt w:val="decimal"/>
      <w:suff w:val="nothing"/>
      <w:lvlText w:val="（%1）"/>
      <w:lvlJc w:val="left"/>
      <w:pPr>
        <w:ind w:left="0" w:firstLine="616"/>
      </w:pPr>
      <w:rPr>
        <w:rFonts w:hint="default"/>
      </w:rPr>
    </w:lvl>
  </w:abstractNum>
  <w:abstractNum w:abstractNumId="1">
    <w:nsid w:val="954D0C58"/>
    <w:multiLevelType w:val="singleLevel"/>
    <w:tmpl w:val="954D0C58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2">
    <w:nsid w:val="A3A1D8B0"/>
    <w:multiLevelType w:val="singleLevel"/>
    <w:tmpl w:val="A3A1D8B0"/>
    <w:lvl w:ilvl="0" w:tentative="0">
      <w:start w:val="1"/>
      <w:numFmt w:val="taiwaneseCounting"/>
      <w:suff w:val="nothing"/>
      <w:lvlText w:val="（%1）"/>
      <w:lvlJc w:val="left"/>
      <w:pPr>
        <w:ind w:left="0" w:firstLine="640"/>
      </w:pPr>
      <w:rPr>
        <w:rFonts w:hint="eastAsia"/>
      </w:rPr>
    </w:lvl>
  </w:abstractNum>
  <w:abstractNum w:abstractNumId="3">
    <w:nsid w:val="A76E2175"/>
    <w:multiLevelType w:val="singleLevel"/>
    <w:tmpl w:val="A76E2175"/>
    <w:lvl w:ilvl="0" w:tentative="0">
      <w:start w:val="1"/>
      <w:numFmt w:val="taiwaneseCounting"/>
      <w:suff w:val="nothing"/>
      <w:lvlText w:val="（%1）"/>
      <w:lvlJc w:val="left"/>
      <w:pPr>
        <w:ind w:left="0" w:firstLine="616"/>
      </w:pPr>
      <w:rPr>
        <w:rFonts w:hint="eastAsia"/>
      </w:rPr>
    </w:lvl>
  </w:abstractNum>
  <w:abstractNum w:abstractNumId="4">
    <w:nsid w:val="AAAECF36"/>
    <w:multiLevelType w:val="singleLevel"/>
    <w:tmpl w:val="AAAECF36"/>
    <w:lvl w:ilvl="0" w:tentative="0">
      <w:start w:val="1"/>
      <w:numFmt w:val="taiwaneseCounting"/>
      <w:suff w:val="nothing"/>
      <w:lvlText w:val="（%1）"/>
      <w:lvlJc w:val="left"/>
      <w:pPr>
        <w:ind w:left="0" w:firstLine="616"/>
      </w:pPr>
      <w:rPr>
        <w:rFonts w:hint="eastAsia"/>
      </w:rPr>
    </w:lvl>
  </w:abstractNum>
  <w:abstractNum w:abstractNumId="5">
    <w:nsid w:val="C7AD6F87"/>
    <w:multiLevelType w:val="singleLevel"/>
    <w:tmpl w:val="C7AD6F87"/>
    <w:lvl w:ilvl="0" w:tentative="0">
      <w:start w:val="1"/>
      <w:numFmt w:val="decimal"/>
      <w:suff w:val="nothing"/>
      <w:lvlText w:val="（%1）"/>
      <w:lvlJc w:val="left"/>
      <w:pPr>
        <w:ind w:left="0" w:firstLine="616"/>
      </w:pPr>
      <w:rPr>
        <w:rFonts w:hint="default"/>
      </w:rPr>
    </w:lvl>
  </w:abstractNum>
  <w:abstractNum w:abstractNumId="6">
    <w:nsid w:val="D0A90E01"/>
    <w:multiLevelType w:val="singleLevel"/>
    <w:tmpl w:val="D0A90E01"/>
    <w:lvl w:ilvl="0" w:tentative="0">
      <w:start w:val="1"/>
      <w:numFmt w:val="decimal"/>
      <w:suff w:val="nothing"/>
      <w:lvlText w:val="（%1）"/>
      <w:lvlJc w:val="left"/>
      <w:pPr>
        <w:ind w:left="0" w:firstLine="616"/>
      </w:pPr>
      <w:rPr>
        <w:rFonts w:hint="default"/>
      </w:rPr>
    </w:lvl>
  </w:abstractNum>
  <w:abstractNum w:abstractNumId="7">
    <w:nsid w:val="D4BD147C"/>
    <w:multiLevelType w:val="singleLevel"/>
    <w:tmpl w:val="D4BD147C"/>
    <w:lvl w:ilvl="0" w:tentative="0">
      <w:start w:val="1"/>
      <w:numFmt w:val="decimal"/>
      <w:suff w:val="nothing"/>
      <w:lvlText w:val="（%1）"/>
      <w:lvlJc w:val="left"/>
      <w:pPr>
        <w:ind w:left="0" w:firstLine="616"/>
      </w:pPr>
      <w:rPr>
        <w:rFonts w:hint="default"/>
      </w:rPr>
    </w:lvl>
  </w:abstractNum>
  <w:abstractNum w:abstractNumId="8">
    <w:nsid w:val="D9E7BD50"/>
    <w:multiLevelType w:val="singleLevel"/>
    <w:tmpl w:val="D9E7BD50"/>
    <w:lvl w:ilvl="0" w:tentative="0">
      <w:start w:val="1"/>
      <w:numFmt w:val="decimal"/>
      <w:suff w:val="nothing"/>
      <w:lvlText w:val="（%1）"/>
      <w:lvlJc w:val="left"/>
      <w:pPr>
        <w:ind w:left="0" w:firstLine="616"/>
      </w:pPr>
      <w:rPr>
        <w:rFonts w:hint="default"/>
      </w:rPr>
    </w:lvl>
  </w:abstractNum>
  <w:abstractNum w:abstractNumId="9">
    <w:nsid w:val="DDA2EC8D"/>
    <w:multiLevelType w:val="singleLevel"/>
    <w:tmpl w:val="DDA2EC8D"/>
    <w:lvl w:ilvl="0" w:tentative="0">
      <w:start w:val="1"/>
      <w:numFmt w:val="decimal"/>
      <w:suff w:val="nothing"/>
      <w:lvlText w:val="（%1）"/>
      <w:lvlJc w:val="left"/>
      <w:pPr>
        <w:ind w:left="0" w:firstLine="616"/>
      </w:pPr>
      <w:rPr>
        <w:rFonts w:hint="default"/>
      </w:rPr>
    </w:lvl>
  </w:abstractNum>
  <w:abstractNum w:abstractNumId="10">
    <w:nsid w:val="E1A0E822"/>
    <w:multiLevelType w:val="singleLevel"/>
    <w:tmpl w:val="E1A0E822"/>
    <w:lvl w:ilvl="0" w:tentative="0">
      <w:start w:val="1"/>
      <w:numFmt w:val="taiwaneseCounting"/>
      <w:suff w:val="nothing"/>
      <w:lvlText w:val="%1、"/>
      <w:lvlJc w:val="left"/>
      <w:pPr>
        <w:ind w:left="0" w:firstLine="640"/>
      </w:pPr>
      <w:rPr>
        <w:rFonts w:hint="eastAsia"/>
      </w:rPr>
    </w:lvl>
  </w:abstractNum>
  <w:abstractNum w:abstractNumId="11">
    <w:nsid w:val="F73FEEB9"/>
    <w:multiLevelType w:val="singleLevel"/>
    <w:tmpl w:val="F73FEEB9"/>
    <w:lvl w:ilvl="0" w:tentative="0">
      <w:start w:val="1"/>
      <w:numFmt w:val="decimal"/>
      <w:suff w:val="nothing"/>
      <w:lvlText w:val="（%1）"/>
      <w:lvlJc w:val="left"/>
      <w:pPr>
        <w:ind w:left="0" w:firstLine="616"/>
      </w:pPr>
      <w:rPr>
        <w:rFonts w:hint="default"/>
      </w:rPr>
    </w:lvl>
  </w:abstractNum>
  <w:abstractNum w:abstractNumId="12">
    <w:nsid w:val="FEDCEF05"/>
    <w:multiLevelType w:val="singleLevel"/>
    <w:tmpl w:val="FEDCEF05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13">
    <w:nsid w:val="0C9E274E"/>
    <w:multiLevelType w:val="singleLevel"/>
    <w:tmpl w:val="0C9E274E"/>
    <w:lvl w:ilvl="0" w:tentative="0">
      <w:start w:val="1"/>
      <w:numFmt w:val="taiwaneseCounting"/>
      <w:suff w:val="nothing"/>
      <w:lvlText w:val="（%1）"/>
      <w:lvlJc w:val="left"/>
      <w:pPr>
        <w:ind w:left="0" w:firstLine="640"/>
      </w:pPr>
      <w:rPr>
        <w:rFonts w:hint="eastAsia"/>
      </w:rPr>
    </w:lvl>
  </w:abstractNum>
  <w:abstractNum w:abstractNumId="14">
    <w:nsid w:val="1358B7EA"/>
    <w:multiLevelType w:val="singleLevel"/>
    <w:tmpl w:val="1358B7EA"/>
    <w:lvl w:ilvl="0" w:tentative="0">
      <w:start w:val="1"/>
      <w:numFmt w:val="decimal"/>
      <w:suff w:val="nothing"/>
      <w:lvlText w:val="（%1）"/>
      <w:lvlJc w:val="left"/>
      <w:pPr>
        <w:ind w:left="0" w:firstLine="616"/>
      </w:pPr>
      <w:rPr>
        <w:rFonts w:hint="default"/>
      </w:rPr>
    </w:lvl>
  </w:abstractNum>
  <w:abstractNum w:abstractNumId="15">
    <w:nsid w:val="1C80352E"/>
    <w:multiLevelType w:val="singleLevel"/>
    <w:tmpl w:val="1C80352E"/>
    <w:lvl w:ilvl="0" w:tentative="0">
      <w:start w:val="1"/>
      <w:numFmt w:val="taiwaneseCounting"/>
      <w:suff w:val="nothing"/>
      <w:lvlText w:val="（%1）"/>
      <w:lvlJc w:val="left"/>
      <w:pPr>
        <w:ind w:left="0" w:firstLine="640"/>
      </w:pPr>
      <w:rPr>
        <w:rFonts w:hint="eastAsia"/>
      </w:rPr>
    </w:lvl>
  </w:abstractNum>
  <w:abstractNum w:abstractNumId="16">
    <w:nsid w:val="2E01EB12"/>
    <w:multiLevelType w:val="singleLevel"/>
    <w:tmpl w:val="2E01EB12"/>
    <w:lvl w:ilvl="0" w:tentative="0">
      <w:start w:val="1"/>
      <w:numFmt w:val="decimal"/>
      <w:suff w:val="nothing"/>
      <w:lvlText w:val="%1．"/>
      <w:lvlJc w:val="left"/>
      <w:pPr>
        <w:ind w:left="0" w:firstLine="640"/>
      </w:pPr>
      <w:rPr>
        <w:rFonts w:hint="default"/>
      </w:rPr>
    </w:lvl>
  </w:abstractNum>
  <w:abstractNum w:abstractNumId="17">
    <w:nsid w:val="40A2A73A"/>
    <w:multiLevelType w:val="singleLevel"/>
    <w:tmpl w:val="40A2A73A"/>
    <w:lvl w:ilvl="0" w:tentative="0">
      <w:start w:val="1"/>
      <w:numFmt w:val="decimal"/>
      <w:suff w:val="nothing"/>
      <w:lvlText w:val="（%1）"/>
      <w:lvlJc w:val="left"/>
      <w:pPr>
        <w:ind w:left="0" w:firstLine="616"/>
      </w:pPr>
      <w:rPr>
        <w:rFonts w:hint="default"/>
      </w:rPr>
    </w:lvl>
  </w:abstractNum>
  <w:abstractNum w:abstractNumId="18">
    <w:nsid w:val="4A0D94CE"/>
    <w:multiLevelType w:val="singleLevel"/>
    <w:tmpl w:val="4A0D94CE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19">
    <w:nsid w:val="598F4D52"/>
    <w:multiLevelType w:val="singleLevel"/>
    <w:tmpl w:val="598F4D52"/>
    <w:lvl w:ilvl="0" w:tentative="0">
      <w:start w:val="1"/>
      <w:numFmt w:val="decimal"/>
      <w:suff w:val="nothing"/>
      <w:lvlText w:val="%1．"/>
      <w:lvlJc w:val="left"/>
      <w:pPr>
        <w:ind w:left="0" w:firstLine="616"/>
      </w:pPr>
      <w:rPr>
        <w:rFonts w:hint="default"/>
      </w:rPr>
    </w:lvl>
  </w:abstractNum>
  <w:abstractNum w:abstractNumId="20">
    <w:nsid w:val="72AF3D59"/>
    <w:multiLevelType w:val="singleLevel"/>
    <w:tmpl w:val="72AF3D59"/>
    <w:lvl w:ilvl="0" w:tentative="0">
      <w:start w:val="1"/>
      <w:numFmt w:val="decimal"/>
      <w:suff w:val="nothing"/>
      <w:lvlText w:val="（%1）"/>
      <w:lvlJc w:val="left"/>
      <w:pPr>
        <w:ind w:left="0" w:firstLine="616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3"/>
  </w:num>
  <w:num w:numId="4">
    <w:abstractNumId w:val="7"/>
  </w:num>
  <w:num w:numId="5">
    <w:abstractNumId w:val="16"/>
  </w:num>
  <w:num w:numId="6">
    <w:abstractNumId w:val="0"/>
  </w:num>
  <w:num w:numId="7">
    <w:abstractNumId w:val="11"/>
  </w:num>
  <w:num w:numId="8">
    <w:abstractNumId w:val="20"/>
  </w:num>
  <w:num w:numId="9">
    <w:abstractNumId w:val="9"/>
  </w:num>
  <w:num w:numId="10">
    <w:abstractNumId w:val="8"/>
  </w:num>
  <w:num w:numId="11">
    <w:abstractNumId w:val="14"/>
  </w:num>
  <w:num w:numId="12">
    <w:abstractNumId w:val="6"/>
  </w:num>
  <w:num w:numId="13">
    <w:abstractNumId w:val="5"/>
  </w:num>
  <w:num w:numId="14">
    <w:abstractNumId w:val="17"/>
  </w:num>
  <w:num w:numId="15">
    <w:abstractNumId w:val="3"/>
  </w:num>
  <w:num w:numId="16">
    <w:abstractNumId w:val="4"/>
  </w:num>
  <w:num w:numId="17">
    <w:abstractNumId w:val="2"/>
  </w:num>
  <w:num w:numId="18">
    <w:abstractNumId w:val="18"/>
  </w:num>
  <w:num w:numId="19">
    <w:abstractNumId w:val="1"/>
  </w:num>
  <w:num w:numId="20">
    <w:abstractNumId w:val="12"/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TrueTypeFonts/>
  <w:saveSubsetFonts/>
  <w:bordersDoNotSurroundHeader w:val="0"/>
  <w:bordersDoNotSurroundFooter w:val="0"/>
  <w:documentProtection w:enforcement="0"/>
  <w:defaultTabStop w:val="420"/>
  <w:evenAndOddHeaders w:val="1"/>
  <w:drawingGridHorizontalSpacing w:val="158"/>
  <w:drawingGridVerticalSpacing w:val="290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6772D"/>
    <w:rsid w:val="0AB56DFD"/>
    <w:rsid w:val="0CF32576"/>
    <w:rsid w:val="1F901EA7"/>
    <w:rsid w:val="233139A1"/>
    <w:rsid w:val="28E60D8A"/>
    <w:rsid w:val="2CD00591"/>
    <w:rsid w:val="2D772487"/>
    <w:rsid w:val="2E00644A"/>
    <w:rsid w:val="307F7AFA"/>
    <w:rsid w:val="3CFE1641"/>
    <w:rsid w:val="3D207452"/>
    <w:rsid w:val="40580367"/>
    <w:rsid w:val="45BB17AD"/>
    <w:rsid w:val="51E423B3"/>
    <w:rsid w:val="524D4587"/>
    <w:rsid w:val="56AE4C71"/>
    <w:rsid w:val="5C8E213B"/>
    <w:rsid w:val="5E940365"/>
    <w:rsid w:val="60A97826"/>
    <w:rsid w:val="68E574A2"/>
    <w:rsid w:val="68FE6023"/>
    <w:rsid w:val="6B703894"/>
    <w:rsid w:val="6CEB74AB"/>
    <w:rsid w:val="6E58315D"/>
    <w:rsid w:val="74887F99"/>
    <w:rsid w:val="75BB10FC"/>
    <w:rsid w:val="77BC29AE"/>
    <w:rsid w:val="7E1A2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officialmode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黑体"/>
      <w:kern w:val="44"/>
      <w:sz w:val="32"/>
      <w:szCs w:val="32"/>
    </w:rPr>
  </w:style>
  <w:style w:type="paragraph" w:styleId="3">
    <w:name w:val="heading 2"/>
    <w:next w:val="1"/>
    <w:link w:val="20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Times New Roman" w:hAnsi="Times New Roman" w:eastAsia="楷体_GB2312" w:cs="楷体_GB2312"/>
      <w:sz w:val="32"/>
      <w:szCs w:val="32"/>
    </w:rPr>
  </w:style>
  <w:style w:type="paragraph" w:styleId="4">
    <w:name w:val="heading 3"/>
    <w:next w:val="1"/>
    <w:link w:val="2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Times New Roman" w:hAnsi="Times New Roman" w:eastAsia="仿宋_GB2312" w:cs="仿宋_GB2312"/>
      <w:sz w:val="32"/>
      <w:szCs w:val="32"/>
    </w:rPr>
  </w:style>
  <w:style w:type="paragraph" w:styleId="5">
    <w:name w:val="heading 4"/>
    <w:next w:val="1"/>
    <w:link w:val="19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Times New Roman" w:hAnsi="Times New Roman" w:eastAsia="仿宋_GB2312" w:cs="仿宋_GB2312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Times New Roman" w:hAnsi="Times New Roman" w:eastAsia="仿宋_GB2312" w:cs="仿宋_GB2312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Times New Roman" w:hAnsi="Times New Roman" w:eastAsia="仿宋_GB2312" w:cs="仿宋_GB2312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Times New Roman" w:hAnsi="Times New Roman" w:eastAsia="仿宋_GB2312" w:cs="仿宋_GB2312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Times New Roman" w:hAnsi="Times New Roman" w:eastAsia="仿宋_GB2312" w:cs="仿宋_GB2312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Times New Roman" w:hAnsi="Times New Roman" w:eastAsia="仿宋_GB2312" w:cs="仿宋_GB2312"/>
      <w:sz w:val="32"/>
      <w:szCs w:val="32"/>
    </w:rPr>
  </w:style>
  <w:style w:type="character" w:default="1" w:styleId="18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link w:val="22"/>
    <w:uiPriority w:val="0"/>
    <w:pPr>
      <w:spacing w:line="560" w:lineRule="exact"/>
      <w:ind w:firstLine="630" w:firstLineChars="200"/>
      <w:jc w:val="both"/>
    </w:pPr>
    <w:rPr>
      <w:rFonts w:ascii="Times New Roman" w:hAnsi="Times New Roman" w:eastAsia="仿宋_GB2312" w:cs="仿宋_GB2312"/>
      <w:spacing w:val="-6"/>
      <w:sz w:val="32"/>
      <w:szCs w:val="32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spacing w:beforeLines="0" w:beforeAutospacing="0" w:afterLines="0" w:afterAutospacing="0" w:line="720" w:lineRule="exact"/>
      <w:jc w:val="center"/>
      <w:outlineLvl w:val="9"/>
    </w:pPr>
    <w:rPr>
      <w:rFonts w:ascii="Times New Roman" w:hAnsi="Times New Roman" w:eastAsia="仿宋_GB2312" w:cs="仿宋_GB2312"/>
      <w:kern w:val="28"/>
      <w:sz w:val="32"/>
      <w:szCs w:val="32"/>
    </w:rPr>
  </w:style>
  <w:style w:type="paragraph" w:styleId="15">
    <w:name w:val="Title"/>
    <w:qFormat/>
    <w:uiPriority w:val="0"/>
    <w:pPr>
      <w:spacing w:line="720" w:lineRule="exact"/>
      <w:jc w:val="center"/>
      <w:outlineLvl w:val="9"/>
    </w:pPr>
    <w:rPr>
      <w:rFonts w:ascii="方正小标宋简体" w:hAnsi="方正小标宋简体" w:eastAsia="方正小标宋简体" w:cs="方正小标宋简体"/>
      <w:sz w:val="44"/>
      <w:szCs w:val="44"/>
    </w:rPr>
  </w:style>
  <w:style w:type="table" w:styleId="17">
    <w:name w:val="Table Grid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">
    <w:name w:val="标题 4 Char"/>
    <w:link w:val="5"/>
    <w:uiPriority w:val="0"/>
    <w:rPr>
      <w:rFonts w:ascii="Times New Roman" w:hAnsi="Times New Roman" w:eastAsia="仿宋_GB2312" w:cs="仿宋_GB2312"/>
      <w:sz w:val="32"/>
      <w:szCs w:val="32"/>
    </w:rPr>
  </w:style>
  <w:style w:type="character" w:customStyle="1" w:styleId="20">
    <w:name w:val="标题 2 Char"/>
    <w:link w:val="3"/>
    <w:uiPriority w:val="0"/>
    <w:rPr>
      <w:rFonts w:ascii="Times New Roman" w:hAnsi="Times New Roman" w:eastAsia="楷体_GB2312" w:cs="楷体_GB2312"/>
      <w:sz w:val="32"/>
      <w:szCs w:val="32"/>
    </w:rPr>
  </w:style>
  <w:style w:type="character" w:customStyle="1" w:styleId="21">
    <w:name w:val="标题 3 Char"/>
    <w:link w:val="4"/>
    <w:uiPriority w:val="0"/>
    <w:rPr>
      <w:rFonts w:ascii="Times New Roman" w:hAnsi="Times New Roman" w:eastAsia="仿宋_GB2312" w:cs="仿宋_GB2312"/>
      <w:sz w:val="32"/>
      <w:szCs w:val="32"/>
    </w:rPr>
  </w:style>
  <w:style w:type="character" w:customStyle="1" w:styleId="22">
    <w:name w:val="正文文本 Char"/>
    <w:link w:val="11"/>
    <w:qFormat/>
    <w:uiPriority w:val="0"/>
    <w:rPr>
      <w:rFonts w:ascii="Times New Roman" w:hAnsi="Times New Roman" w:eastAsia="仿宋_GB2312" w:cs="仿宋_GB2312"/>
      <w:spacing w:val="-6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874a5784-e308-46b4-a991-884bbce321a8</errorID>
      <errorWord>次次</errorWord>
      <group>L1_Word</group>
      <groupName>字词问题</groupName>
      <ability>L2_Typo</ability>
      <abilityName>字词错误</abilityName>
      <candidateList>
        <item>次</item>
      </candidateList>
      <explain/>
      <paraID>7E20BCD1</paraID>
      <start>55</start>
      <end>56</end>
      <status>modified</status>
      <modifiedWord>次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14fc0d4-7cc3-4092-8ecc-f0b03f919ed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4573</Words>
  <Characters>4652</Characters>
  <Lines>0</Lines>
  <Paragraphs>0</Paragraphs>
  <TotalTime>11</TotalTime>
  <ScaleCrop>false</ScaleCrop>
  <LinksUpToDate>false</LinksUpToDate>
  <CharactersWithSpaces>4896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姜文君</dc:creator>
  <cp:lastModifiedBy>百焚桨惭赖</cp:lastModifiedBy>
  <cp:lastPrinted>2026-01-20T02:29:49Z</cp:lastPrinted>
  <dcterms:modified xsi:type="dcterms:W3CDTF">2026-01-20T02:52:51Z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eyJoZGlkIjoiMDNhNDM4OTFiNzYyMzc5NjZlNzMzMWU3YjcxMDk0MjYiLCJ1c2VySWQiOiIxNjk2NjAwNDYxIn0=</vt:lpwstr>
  </property>
  <property fmtid="{D5CDD505-2E9C-101B-9397-08002B2CF9AE}" pid="4" name="ICV">
    <vt:lpwstr>44560B6AC90F4464A406D5D6277B201E_13</vt:lpwstr>
  </property>
</Properties>
</file>